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A12" w:rsidRPr="00A83533" w:rsidRDefault="00410A12" w:rsidP="008A7DD7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  <w:r w:rsidRPr="00A83533">
        <w:rPr>
          <w:b/>
          <w:bCs/>
          <w:sz w:val="26"/>
          <w:szCs w:val="26"/>
        </w:rPr>
        <w:t>Доходы бюджета Ханты-Мансийского автономного округа – Югры</w:t>
      </w:r>
    </w:p>
    <w:p w:rsidR="00410A12" w:rsidRPr="00A83533" w:rsidRDefault="00443274" w:rsidP="008A7DD7">
      <w:pPr>
        <w:pStyle w:val="Default"/>
        <w:spacing w:after="100" w:afterAutospacing="1" w:line="276" w:lineRule="auto"/>
        <w:jc w:val="center"/>
        <w:rPr>
          <w:b/>
          <w:bCs/>
          <w:sz w:val="26"/>
          <w:szCs w:val="26"/>
        </w:rPr>
      </w:pPr>
      <w:r w:rsidRPr="00A83533">
        <w:rPr>
          <w:b/>
          <w:bCs/>
          <w:sz w:val="26"/>
          <w:szCs w:val="26"/>
        </w:rPr>
        <w:t>на 20</w:t>
      </w:r>
      <w:r w:rsidR="00E552F9">
        <w:rPr>
          <w:b/>
          <w:bCs/>
          <w:sz w:val="26"/>
          <w:szCs w:val="26"/>
        </w:rPr>
        <w:t>2</w:t>
      </w:r>
      <w:r w:rsidR="00307284">
        <w:rPr>
          <w:b/>
          <w:bCs/>
          <w:sz w:val="26"/>
          <w:szCs w:val="26"/>
        </w:rPr>
        <w:t>1</w:t>
      </w:r>
      <w:r w:rsidR="00410A12" w:rsidRPr="00A83533">
        <w:rPr>
          <w:b/>
          <w:bCs/>
          <w:sz w:val="26"/>
          <w:szCs w:val="26"/>
        </w:rPr>
        <w:t xml:space="preserve"> год и на плановый период 20</w:t>
      </w:r>
      <w:r w:rsidRPr="00A83533">
        <w:rPr>
          <w:b/>
          <w:bCs/>
          <w:sz w:val="26"/>
          <w:szCs w:val="26"/>
        </w:rPr>
        <w:t>2</w:t>
      </w:r>
      <w:r w:rsidR="00307284">
        <w:rPr>
          <w:b/>
          <w:bCs/>
          <w:sz w:val="26"/>
          <w:szCs w:val="26"/>
        </w:rPr>
        <w:t>2</w:t>
      </w:r>
      <w:r w:rsidR="00410A12" w:rsidRPr="00A83533">
        <w:rPr>
          <w:b/>
          <w:bCs/>
          <w:sz w:val="26"/>
          <w:szCs w:val="26"/>
        </w:rPr>
        <w:t>-202</w:t>
      </w:r>
      <w:r w:rsidR="00307284">
        <w:rPr>
          <w:b/>
          <w:bCs/>
          <w:sz w:val="26"/>
          <w:szCs w:val="26"/>
        </w:rPr>
        <w:t>3</w:t>
      </w:r>
      <w:r w:rsidR="00410A12" w:rsidRPr="00A83533">
        <w:rPr>
          <w:b/>
          <w:bCs/>
          <w:sz w:val="26"/>
          <w:szCs w:val="26"/>
        </w:rPr>
        <w:t xml:space="preserve"> годов </w:t>
      </w:r>
    </w:p>
    <w:p w:rsidR="008416B4" w:rsidRPr="00336B0B" w:rsidRDefault="006465E3" w:rsidP="008416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доходов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 бюджета автономного округа на 2021-2023 годы основ</w:t>
      </w:r>
      <w:r>
        <w:rPr>
          <w:rFonts w:ascii="Times New Roman" w:hAnsi="Times New Roman" w:cs="Times New Roman"/>
          <w:sz w:val="24"/>
          <w:szCs w:val="24"/>
        </w:rPr>
        <w:t xml:space="preserve">ано </w:t>
      </w:r>
      <w:r w:rsidR="00A62E23">
        <w:rPr>
          <w:rFonts w:ascii="Times New Roman" w:hAnsi="Times New Roman" w:cs="Times New Roman"/>
          <w:sz w:val="24"/>
          <w:szCs w:val="24"/>
        </w:rPr>
        <w:t xml:space="preserve">на </w:t>
      </w:r>
      <w:r w:rsidR="00A62E23" w:rsidRPr="00336B0B">
        <w:rPr>
          <w:rFonts w:ascii="Times New Roman" w:hAnsi="Times New Roman" w:cs="Times New Roman"/>
          <w:sz w:val="24"/>
          <w:szCs w:val="24"/>
        </w:rPr>
        <w:t>«</w:t>
      </w:r>
      <w:r w:rsidR="008416B4" w:rsidRPr="00336B0B">
        <w:rPr>
          <w:rFonts w:ascii="Times New Roman" w:hAnsi="Times New Roman" w:cs="Times New Roman"/>
          <w:sz w:val="24"/>
          <w:szCs w:val="24"/>
        </w:rPr>
        <w:t>базово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8416B4" w:rsidRPr="00336B0B">
        <w:rPr>
          <w:rFonts w:ascii="Times New Roman" w:hAnsi="Times New Roman" w:cs="Times New Roman"/>
          <w:sz w:val="24"/>
          <w:szCs w:val="24"/>
        </w:rPr>
        <w:t>» вариант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 основных показателей прогноза социально-экономического развития Ханты-Мансийского автономного округа – Югры </w:t>
      </w:r>
      <w:r w:rsidR="008416B4" w:rsidRPr="00F930F0">
        <w:rPr>
          <w:rFonts w:ascii="Times New Roman" w:hAnsi="Times New Roman" w:cs="Times New Roman"/>
          <w:sz w:val="24"/>
          <w:szCs w:val="24"/>
        </w:rPr>
        <w:t xml:space="preserve">на </w:t>
      </w:r>
      <w:r w:rsidR="00532A50" w:rsidRPr="00F930F0">
        <w:rPr>
          <w:rFonts w:ascii="Times New Roman" w:hAnsi="Times New Roman" w:cs="Times New Roman"/>
          <w:sz w:val="24"/>
          <w:szCs w:val="24"/>
        </w:rPr>
        <w:t>2021 год и на плановый период 2022 и 2023</w:t>
      </w:r>
      <w:r w:rsidR="008416B4" w:rsidRPr="00F930F0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230828" w:rsidRDefault="00A62E23" w:rsidP="00BF389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06CD5">
        <w:rPr>
          <w:rFonts w:ascii="Times New Roman" w:hAnsi="Times New Roman" w:cs="Times New Roman"/>
          <w:sz w:val="24"/>
          <w:szCs w:val="24"/>
        </w:rPr>
        <w:t>Данный</w:t>
      </w:r>
      <w:r w:rsidR="00D60F44" w:rsidRPr="00306CD5">
        <w:rPr>
          <w:rFonts w:ascii="Times New Roman" w:hAnsi="Times New Roman" w:cs="Times New Roman"/>
          <w:sz w:val="24"/>
          <w:szCs w:val="24"/>
        </w:rPr>
        <w:t xml:space="preserve"> вариант </w:t>
      </w:r>
      <w:r w:rsidRPr="00306CD5">
        <w:rPr>
          <w:rFonts w:ascii="Times New Roman" w:hAnsi="Times New Roman" w:cs="Times New Roman"/>
          <w:sz w:val="24"/>
          <w:szCs w:val="24"/>
        </w:rPr>
        <w:t>предусматривает</w:t>
      </w:r>
      <w:r w:rsidR="00D60F44" w:rsidRPr="00306CD5">
        <w:rPr>
          <w:rFonts w:ascii="Times New Roman" w:hAnsi="Times New Roman" w:cs="Times New Roman"/>
          <w:sz w:val="24"/>
          <w:szCs w:val="24"/>
        </w:rPr>
        <w:t xml:space="preserve"> наиболее вероятны</w:t>
      </w:r>
      <w:r w:rsidRPr="00306CD5">
        <w:rPr>
          <w:rFonts w:ascii="Times New Roman" w:hAnsi="Times New Roman" w:cs="Times New Roman"/>
          <w:sz w:val="24"/>
          <w:szCs w:val="24"/>
        </w:rPr>
        <w:t>й</w:t>
      </w:r>
      <w:r w:rsidR="00D60F44" w:rsidRPr="00306CD5">
        <w:rPr>
          <w:rFonts w:ascii="Times New Roman" w:hAnsi="Times New Roman" w:cs="Times New Roman"/>
          <w:sz w:val="24"/>
          <w:szCs w:val="24"/>
        </w:rPr>
        <w:t xml:space="preserve"> сценари</w:t>
      </w:r>
      <w:r w:rsidRPr="00306CD5">
        <w:rPr>
          <w:rFonts w:ascii="Times New Roman" w:hAnsi="Times New Roman" w:cs="Times New Roman"/>
          <w:sz w:val="24"/>
          <w:szCs w:val="24"/>
        </w:rPr>
        <w:t>й</w:t>
      </w:r>
      <w:r w:rsidR="00E511E1" w:rsidRPr="00306CD5">
        <w:rPr>
          <w:rFonts w:ascii="Times New Roman" w:hAnsi="Times New Roman" w:cs="Times New Roman"/>
          <w:sz w:val="24"/>
          <w:szCs w:val="24"/>
        </w:rPr>
        <w:t xml:space="preserve"> развития</w:t>
      </w:r>
      <w:r w:rsidR="00EF34B3" w:rsidRPr="00306CD5">
        <w:rPr>
          <w:rFonts w:ascii="Times New Roman" w:hAnsi="Times New Roman" w:cs="Times New Roman"/>
          <w:sz w:val="24"/>
          <w:szCs w:val="24"/>
        </w:rPr>
        <w:t xml:space="preserve"> </w:t>
      </w:r>
      <w:r w:rsidR="00D60F44" w:rsidRPr="00306CD5">
        <w:rPr>
          <w:rFonts w:ascii="Times New Roman" w:hAnsi="Times New Roman" w:cs="Times New Roman"/>
          <w:sz w:val="24"/>
          <w:szCs w:val="24"/>
        </w:rPr>
        <w:t>экономик</w:t>
      </w:r>
      <w:r w:rsidR="007E75B5" w:rsidRPr="00306CD5">
        <w:rPr>
          <w:rFonts w:ascii="Times New Roman" w:hAnsi="Times New Roman" w:cs="Times New Roman"/>
          <w:sz w:val="24"/>
          <w:szCs w:val="24"/>
        </w:rPr>
        <w:t>и</w:t>
      </w:r>
      <w:r w:rsidR="00E511E1" w:rsidRPr="00306CD5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BD5E2B" w:rsidRPr="00306CD5">
        <w:rPr>
          <w:rFonts w:ascii="Times New Roman" w:hAnsi="Times New Roman" w:cs="Times New Roman"/>
          <w:sz w:val="24"/>
          <w:szCs w:val="24"/>
        </w:rPr>
        <w:t>,</w:t>
      </w:r>
      <w:r w:rsidR="00D60F44" w:rsidRPr="00306CD5">
        <w:rPr>
          <w:rFonts w:ascii="Times New Roman" w:hAnsi="Times New Roman" w:cs="Times New Roman"/>
          <w:sz w:val="24"/>
          <w:szCs w:val="24"/>
        </w:rPr>
        <w:t xml:space="preserve"> с учетом ожидаемых внешних условий и принима</w:t>
      </w:r>
      <w:r w:rsidR="00BF3892">
        <w:rPr>
          <w:rFonts w:ascii="Times New Roman" w:hAnsi="Times New Roman" w:cs="Times New Roman"/>
          <w:sz w:val="24"/>
          <w:szCs w:val="24"/>
        </w:rPr>
        <w:t>емых мер экономической политики</w:t>
      </w:r>
      <w:r w:rsidR="008176BE">
        <w:rPr>
          <w:rFonts w:ascii="Times New Roman" w:hAnsi="Times New Roman" w:cs="Times New Roman"/>
          <w:sz w:val="24"/>
          <w:szCs w:val="24"/>
        </w:rPr>
        <w:t>. Несмотря на то, что в базовом вариант</w:t>
      </w:r>
      <w:r w:rsidR="00B91EF3">
        <w:rPr>
          <w:rFonts w:ascii="Times New Roman" w:hAnsi="Times New Roman" w:cs="Times New Roman"/>
          <w:sz w:val="24"/>
          <w:szCs w:val="24"/>
        </w:rPr>
        <w:t>е</w:t>
      </w:r>
      <w:r w:rsidR="008176BE">
        <w:rPr>
          <w:rFonts w:ascii="Times New Roman" w:hAnsi="Times New Roman" w:cs="Times New Roman"/>
          <w:sz w:val="24"/>
          <w:szCs w:val="24"/>
        </w:rPr>
        <w:t xml:space="preserve"> </w:t>
      </w:r>
      <w:r w:rsidR="00BF3892">
        <w:rPr>
          <w:rFonts w:ascii="Times New Roman" w:hAnsi="Times New Roman" w:cs="Times New Roman"/>
          <w:sz w:val="24"/>
          <w:szCs w:val="24"/>
        </w:rPr>
        <w:t xml:space="preserve">не </w:t>
      </w:r>
      <w:r w:rsidR="00BA3F34">
        <w:rPr>
          <w:rFonts w:ascii="Times New Roman" w:hAnsi="Times New Roman" w:cs="Times New Roman"/>
          <w:sz w:val="24"/>
          <w:szCs w:val="24"/>
        </w:rPr>
        <w:t>предполагается «</w:t>
      </w:r>
      <w:r w:rsidR="00B91EF3">
        <w:rPr>
          <w:rFonts w:ascii="Times New Roman" w:hAnsi="Times New Roman" w:cs="Times New Roman"/>
          <w:sz w:val="24"/>
          <w:szCs w:val="24"/>
        </w:rPr>
        <w:t>вторая волна</w:t>
      </w:r>
      <w:r w:rsidR="00BF3892">
        <w:rPr>
          <w:rFonts w:ascii="Times New Roman" w:hAnsi="Times New Roman" w:cs="Times New Roman"/>
          <w:sz w:val="24"/>
          <w:szCs w:val="24"/>
        </w:rPr>
        <w:t>»</w:t>
      </w:r>
      <w:r w:rsidR="008176BE">
        <w:rPr>
          <w:rFonts w:ascii="Times New Roman" w:hAnsi="Times New Roman" w:cs="Times New Roman"/>
          <w:sz w:val="24"/>
          <w:szCs w:val="24"/>
        </w:rPr>
        <w:t xml:space="preserve"> новой коро</w:t>
      </w:r>
      <w:r w:rsidR="00B91EF3">
        <w:rPr>
          <w:rFonts w:ascii="Times New Roman" w:hAnsi="Times New Roman" w:cs="Times New Roman"/>
          <w:sz w:val="24"/>
          <w:szCs w:val="24"/>
        </w:rPr>
        <w:t>навирусной инфекции, она остаётся</w:t>
      </w:r>
      <w:r w:rsidR="00134DCC">
        <w:rPr>
          <w:rFonts w:ascii="Times New Roman" w:hAnsi="Times New Roman" w:cs="Times New Roman"/>
          <w:sz w:val="24"/>
          <w:szCs w:val="24"/>
        </w:rPr>
        <w:t xml:space="preserve"> одним из ключевых</w:t>
      </w:r>
      <w:r w:rsidR="0043552A">
        <w:rPr>
          <w:rFonts w:ascii="Times New Roman" w:hAnsi="Times New Roman" w:cs="Times New Roman"/>
          <w:sz w:val="24"/>
          <w:szCs w:val="24"/>
        </w:rPr>
        <w:t xml:space="preserve"> источников</w:t>
      </w:r>
      <w:r w:rsidR="00B91EF3">
        <w:rPr>
          <w:rFonts w:ascii="Times New Roman" w:hAnsi="Times New Roman" w:cs="Times New Roman"/>
          <w:sz w:val="24"/>
          <w:szCs w:val="24"/>
        </w:rPr>
        <w:t xml:space="preserve"> риска для исполнения запланированных бюджетных показателей.</w:t>
      </w:r>
      <w:r w:rsidR="00BF38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6B4" w:rsidRPr="00336B0B" w:rsidRDefault="00226902" w:rsidP="008416B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рогноз динамики цен на нефть </w:t>
      </w:r>
      <w:r w:rsidR="008416B4" w:rsidRPr="008B66BA">
        <w:rPr>
          <w:rFonts w:ascii="Times New Roman" w:hAnsi="Times New Roman" w:cs="Times New Roman"/>
          <w:sz w:val="24"/>
          <w:szCs w:val="24"/>
        </w:rPr>
        <w:t>консервативен</w:t>
      </w:r>
      <w:r w:rsidR="008416B4" w:rsidRPr="00336B0B">
        <w:rPr>
          <w:rFonts w:ascii="Times New Roman" w:hAnsi="Times New Roman" w:cs="Times New Roman"/>
          <w:sz w:val="24"/>
          <w:szCs w:val="24"/>
        </w:rPr>
        <w:t>, что</w:t>
      </w:r>
      <w:r w:rsidR="006D4F6E">
        <w:rPr>
          <w:rFonts w:ascii="Times New Roman" w:hAnsi="Times New Roman" w:cs="Times New Roman"/>
          <w:sz w:val="24"/>
          <w:szCs w:val="24"/>
        </w:rPr>
        <w:t xml:space="preserve"> так же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 связано с неблагоприятной эпидемиологической ситуацией</w:t>
      </w:r>
      <w:r w:rsidR="00433539">
        <w:rPr>
          <w:rFonts w:ascii="Times New Roman" w:hAnsi="Times New Roman" w:cs="Times New Roman"/>
          <w:sz w:val="24"/>
          <w:szCs w:val="24"/>
        </w:rPr>
        <w:t xml:space="preserve"> и договоренностью стран ОПЕК+ о сокращении объёмов </w:t>
      </w:r>
      <w:r w:rsidR="008E3D98">
        <w:rPr>
          <w:rFonts w:ascii="Times New Roman" w:hAnsi="Times New Roman" w:cs="Times New Roman"/>
          <w:sz w:val="24"/>
          <w:szCs w:val="24"/>
        </w:rPr>
        <w:t xml:space="preserve">её </w:t>
      </w:r>
      <w:r w:rsidR="00433539">
        <w:rPr>
          <w:rFonts w:ascii="Times New Roman" w:hAnsi="Times New Roman" w:cs="Times New Roman"/>
          <w:sz w:val="24"/>
          <w:szCs w:val="24"/>
        </w:rPr>
        <w:t>добычи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. </w:t>
      </w:r>
      <w:r w:rsidR="00617AB7">
        <w:rPr>
          <w:rFonts w:ascii="Times New Roman" w:hAnsi="Times New Roman" w:cs="Times New Roman"/>
          <w:sz w:val="24"/>
          <w:szCs w:val="24"/>
        </w:rPr>
        <w:t>Предполагается постепенное в</w:t>
      </w:r>
      <w:r w:rsidR="008416B4" w:rsidRPr="00336B0B">
        <w:rPr>
          <w:rFonts w:ascii="Times New Roman" w:hAnsi="Times New Roman" w:cs="Times New Roman"/>
          <w:sz w:val="24"/>
          <w:szCs w:val="24"/>
        </w:rPr>
        <w:t>осстановление спроса на нефть</w:t>
      </w:r>
      <w:r w:rsidR="00617AB7">
        <w:rPr>
          <w:rFonts w:ascii="Times New Roman" w:hAnsi="Times New Roman" w:cs="Times New Roman"/>
          <w:sz w:val="24"/>
          <w:szCs w:val="24"/>
        </w:rPr>
        <w:t>, в</w:t>
      </w:r>
      <w:r w:rsidR="008416B4" w:rsidRPr="00336B0B">
        <w:rPr>
          <w:rFonts w:ascii="Times New Roman" w:hAnsi="Times New Roman" w:cs="Times New Roman"/>
          <w:sz w:val="24"/>
          <w:szCs w:val="24"/>
        </w:rPr>
        <w:t xml:space="preserve"> первую очередь, со стороны транспортной отрасли. В отношении курса рубля </w:t>
      </w:r>
      <w:r w:rsidR="00D34DC8">
        <w:rPr>
          <w:rFonts w:ascii="Times New Roman" w:hAnsi="Times New Roman" w:cs="Times New Roman"/>
          <w:sz w:val="24"/>
          <w:szCs w:val="24"/>
        </w:rPr>
        <w:t>ожида</w:t>
      </w:r>
      <w:r w:rsidR="008416B4" w:rsidRPr="00336B0B">
        <w:rPr>
          <w:rFonts w:ascii="Times New Roman" w:hAnsi="Times New Roman" w:cs="Times New Roman"/>
          <w:sz w:val="24"/>
          <w:szCs w:val="24"/>
        </w:rPr>
        <w:t>ется умеренное ослабление</w:t>
      </w:r>
      <w:r w:rsidR="00FE33D7">
        <w:rPr>
          <w:rFonts w:ascii="Times New Roman" w:hAnsi="Times New Roman" w:cs="Times New Roman"/>
          <w:sz w:val="24"/>
          <w:szCs w:val="24"/>
        </w:rPr>
        <w:t xml:space="preserve"> на протяжении всего прогнозного периода</w:t>
      </w:r>
      <w:r w:rsidR="007E4AF3">
        <w:rPr>
          <w:rFonts w:ascii="Times New Roman" w:hAnsi="Times New Roman" w:cs="Times New Roman"/>
          <w:sz w:val="24"/>
          <w:szCs w:val="24"/>
        </w:rPr>
        <w:t xml:space="preserve">. </w:t>
      </w:r>
      <w:r w:rsidR="008416B4" w:rsidRPr="00336B0B">
        <w:t xml:space="preserve"> </w:t>
      </w:r>
    </w:p>
    <w:p w:rsidR="00B9548E" w:rsidRPr="001D5DFF" w:rsidRDefault="00B9548E" w:rsidP="00D04B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5DFF">
        <w:rPr>
          <w:rFonts w:ascii="Times New Roman" w:hAnsi="Times New Roman" w:cs="Times New Roman"/>
          <w:sz w:val="24"/>
          <w:szCs w:val="24"/>
        </w:rPr>
        <w:t xml:space="preserve">Динамика основных показателей социально-экономического развития </w:t>
      </w:r>
      <w:r w:rsidR="00190198" w:rsidRPr="001D5DFF">
        <w:rPr>
          <w:rFonts w:ascii="Times New Roman" w:hAnsi="Times New Roman" w:cs="Times New Roman"/>
          <w:sz w:val="24"/>
          <w:szCs w:val="24"/>
        </w:rPr>
        <w:t>Ханты-</w:t>
      </w:r>
      <w:r w:rsidR="009B297F" w:rsidRPr="001D5DFF">
        <w:rPr>
          <w:rFonts w:ascii="Times New Roman" w:hAnsi="Times New Roman" w:cs="Times New Roman"/>
          <w:sz w:val="24"/>
          <w:szCs w:val="24"/>
        </w:rPr>
        <w:t>Мансийского</w:t>
      </w:r>
      <w:r w:rsidR="00190198" w:rsidRPr="001D5DFF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9B297F" w:rsidRPr="001D5DFF">
        <w:rPr>
          <w:rFonts w:ascii="Times New Roman" w:hAnsi="Times New Roman" w:cs="Times New Roman"/>
          <w:sz w:val="24"/>
          <w:szCs w:val="24"/>
        </w:rPr>
        <w:t xml:space="preserve"> </w:t>
      </w:r>
      <w:r w:rsidR="00B7671A" w:rsidRPr="001D5DFF">
        <w:rPr>
          <w:rFonts w:ascii="Times New Roman" w:hAnsi="Times New Roman" w:cs="Times New Roman"/>
          <w:sz w:val="24"/>
          <w:szCs w:val="24"/>
        </w:rPr>
        <w:t>–</w:t>
      </w:r>
      <w:r w:rsidR="009B297F" w:rsidRPr="001D5DFF">
        <w:rPr>
          <w:rFonts w:ascii="Times New Roman" w:hAnsi="Times New Roman" w:cs="Times New Roman"/>
          <w:sz w:val="24"/>
          <w:szCs w:val="24"/>
        </w:rPr>
        <w:t xml:space="preserve"> Югры</w:t>
      </w:r>
      <w:r w:rsidR="00B7671A" w:rsidRPr="001D5DFF">
        <w:rPr>
          <w:rFonts w:ascii="Times New Roman" w:hAnsi="Times New Roman" w:cs="Times New Roman"/>
          <w:sz w:val="24"/>
          <w:szCs w:val="24"/>
        </w:rPr>
        <w:t xml:space="preserve"> </w:t>
      </w:r>
      <w:r w:rsidR="00190198" w:rsidRPr="001D5DFF">
        <w:rPr>
          <w:rFonts w:ascii="Times New Roman" w:hAnsi="Times New Roman" w:cs="Times New Roman"/>
          <w:sz w:val="24"/>
          <w:szCs w:val="24"/>
        </w:rPr>
        <w:t>н</w:t>
      </w:r>
      <w:r w:rsidR="0060044B" w:rsidRPr="001D5DFF">
        <w:rPr>
          <w:rFonts w:ascii="Times New Roman" w:hAnsi="Times New Roman" w:cs="Times New Roman"/>
          <w:sz w:val="24"/>
          <w:szCs w:val="24"/>
        </w:rPr>
        <w:t>а</w:t>
      </w:r>
      <w:r w:rsidR="005E39AC" w:rsidRPr="001D5DFF">
        <w:rPr>
          <w:rFonts w:ascii="Times New Roman" w:hAnsi="Times New Roman" w:cs="Times New Roman"/>
          <w:sz w:val="24"/>
          <w:szCs w:val="24"/>
        </w:rPr>
        <w:t xml:space="preserve"> 20</w:t>
      </w:r>
      <w:r w:rsidR="00307284" w:rsidRPr="001D5DFF">
        <w:rPr>
          <w:rFonts w:ascii="Times New Roman" w:hAnsi="Times New Roman" w:cs="Times New Roman"/>
          <w:sz w:val="24"/>
          <w:szCs w:val="24"/>
        </w:rPr>
        <w:t>20</w:t>
      </w:r>
      <w:r w:rsidR="0060044B" w:rsidRPr="001D5DFF">
        <w:rPr>
          <w:rFonts w:ascii="Times New Roman" w:hAnsi="Times New Roman" w:cs="Times New Roman"/>
          <w:sz w:val="24"/>
          <w:szCs w:val="24"/>
        </w:rPr>
        <w:t>-</w:t>
      </w:r>
      <w:r w:rsidR="00190198" w:rsidRPr="001D5DFF">
        <w:rPr>
          <w:rFonts w:ascii="Times New Roman" w:hAnsi="Times New Roman" w:cs="Times New Roman"/>
          <w:sz w:val="24"/>
          <w:szCs w:val="24"/>
        </w:rPr>
        <w:t>202</w:t>
      </w:r>
      <w:r w:rsidR="00307284" w:rsidRPr="001D5DFF">
        <w:rPr>
          <w:rFonts w:ascii="Times New Roman" w:hAnsi="Times New Roman" w:cs="Times New Roman"/>
          <w:sz w:val="24"/>
          <w:szCs w:val="24"/>
        </w:rPr>
        <w:t>3</w:t>
      </w:r>
      <w:r w:rsidR="00190198" w:rsidRPr="001D5DFF">
        <w:rPr>
          <w:rFonts w:ascii="Times New Roman" w:hAnsi="Times New Roman" w:cs="Times New Roman"/>
          <w:sz w:val="24"/>
          <w:szCs w:val="24"/>
        </w:rPr>
        <w:t xml:space="preserve"> год</w:t>
      </w:r>
      <w:r w:rsidR="00CD1D9B" w:rsidRPr="001D5DFF">
        <w:rPr>
          <w:rFonts w:ascii="Times New Roman" w:hAnsi="Times New Roman" w:cs="Times New Roman"/>
          <w:sz w:val="24"/>
          <w:szCs w:val="24"/>
        </w:rPr>
        <w:t>ы</w:t>
      </w:r>
      <w:r w:rsidR="00190198" w:rsidRPr="001D5DFF">
        <w:rPr>
          <w:rFonts w:ascii="Times New Roman" w:hAnsi="Times New Roman" w:cs="Times New Roman"/>
          <w:sz w:val="24"/>
          <w:szCs w:val="24"/>
        </w:rPr>
        <w:t xml:space="preserve"> представлена </w:t>
      </w:r>
      <w:r w:rsidR="00710060">
        <w:rPr>
          <w:rFonts w:ascii="Times New Roman" w:hAnsi="Times New Roman" w:cs="Times New Roman"/>
          <w:sz w:val="24"/>
          <w:szCs w:val="24"/>
        </w:rPr>
        <w:t>в таблице</w:t>
      </w:r>
      <w:r w:rsidR="00190198" w:rsidRPr="001D5DFF">
        <w:rPr>
          <w:rFonts w:ascii="Times New Roman" w:hAnsi="Times New Roman" w:cs="Times New Roman"/>
          <w:sz w:val="24"/>
          <w:szCs w:val="24"/>
        </w:rPr>
        <w:t xml:space="preserve"> </w:t>
      </w:r>
      <w:r w:rsidR="002C6CB9">
        <w:rPr>
          <w:rFonts w:ascii="Times New Roman" w:hAnsi="Times New Roman" w:cs="Times New Roman"/>
          <w:sz w:val="24"/>
          <w:szCs w:val="24"/>
        </w:rPr>
        <w:t>2</w:t>
      </w:r>
      <w:r w:rsidR="00190198" w:rsidRPr="001D5DFF">
        <w:rPr>
          <w:rFonts w:ascii="Times New Roman" w:hAnsi="Times New Roman" w:cs="Times New Roman"/>
          <w:sz w:val="24"/>
          <w:szCs w:val="24"/>
        </w:rPr>
        <w:t>.</w:t>
      </w:r>
    </w:p>
    <w:p w:rsidR="00D44A79" w:rsidRPr="00F024C6" w:rsidRDefault="00710060" w:rsidP="00D44A79">
      <w:pPr>
        <w:pStyle w:val="a3"/>
        <w:spacing w:before="0" w:beforeAutospacing="0" w:after="0" w:afterAutospacing="0" w:line="360" w:lineRule="auto"/>
        <w:jc w:val="right"/>
        <w:rPr>
          <w:bCs/>
        </w:rPr>
      </w:pPr>
      <w:r>
        <w:rPr>
          <w:bCs/>
        </w:rPr>
        <w:t>Таблица</w:t>
      </w:r>
      <w:r w:rsidR="00D44A79" w:rsidRPr="00F024C6">
        <w:rPr>
          <w:bCs/>
        </w:rPr>
        <w:t xml:space="preserve"> </w:t>
      </w:r>
      <w:r w:rsidR="002C6CB9">
        <w:rPr>
          <w:bCs/>
        </w:rPr>
        <w:t>2</w:t>
      </w:r>
    </w:p>
    <w:p w:rsidR="00D44A79" w:rsidRPr="00CB4FB1" w:rsidRDefault="00D44A79" w:rsidP="00F024C6">
      <w:pPr>
        <w:pStyle w:val="Default"/>
        <w:jc w:val="center"/>
        <w:rPr>
          <w:bCs/>
          <w:color w:val="auto"/>
          <w:lang w:eastAsia="ru-RU"/>
        </w:rPr>
      </w:pPr>
      <w:r w:rsidRPr="00CB4FB1">
        <w:rPr>
          <w:bCs/>
          <w:color w:val="auto"/>
          <w:lang w:eastAsia="ru-RU"/>
        </w:rPr>
        <w:t xml:space="preserve">Основные показатели </w:t>
      </w:r>
      <w:r w:rsidR="00C86801" w:rsidRPr="00CB4FB1">
        <w:rPr>
          <w:bCs/>
          <w:color w:val="auto"/>
          <w:lang w:eastAsia="ru-RU"/>
        </w:rPr>
        <w:t xml:space="preserve">прогноза </w:t>
      </w:r>
      <w:r w:rsidRPr="00CB4FB1">
        <w:rPr>
          <w:bCs/>
          <w:color w:val="auto"/>
          <w:lang w:eastAsia="ru-RU"/>
        </w:rPr>
        <w:t xml:space="preserve">социально-экономического развития </w:t>
      </w:r>
      <w:r w:rsidRPr="00CB4FB1">
        <w:rPr>
          <w:color w:val="auto"/>
          <w:lang w:eastAsia="ru-RU"/>
        </w:rPr>
        <w:br/>
      </w:r>
      <w:r w:rsidRPr="00CB4FB1">
        <w:rPr>
          <w:bCs/>
          <w:color w:val="auto"/>
          <w:lang w:eastAsia="ru-RU"/>
        </w:rPr>
        <w:t xml:space="preserve">Ханты-Мансийского автономного округа – Югры </w:t>
      </w:r>
    </w:p>
    <w:p w:rsidR="00D44A79" w:rsidRPr="00CB4FB1" w:rsidRDefault="005E39AC" w:rsidP="00F024C6">
      <w:pPr>
        <w:pStyle w:val="Default"/>
        <w:jc w:val="center"/>
        <w:rPr>
          <w:bCs/>
          <w:color w:val="auto"/>
        </w:rPr>
      </w:pPr>
      <w:r w:rsidRPr="00CB4FB1">
        <w:rPr>
          <w:bCs/>
          <w:color w:val="auto"/>
          <w:lang w:eastAsia="ru-RU"/>
        </w:rPr>
        <w:t>на 20</w:t>
      </w:r>
      <w:r w:rsidR="00307284" w:rsidRPr="00CB4FB1">
        <w:rPr>
          <w:bCs/>
          <w:color w:val="auto"/>
          <w:lang w:eastAsia="ru-RU"/>
        </w:rPr>
        <w:t>20</w:t>
      </w:r>
      <w:r w:rsidR="0060044B" w:rsidRPr="00CB4FB1">
        <w:rPr>
          <w:bCs/>
          <w:color w:val="auto"/>
        </w:rPr>
        <w:t>-</w:t>
      </w:r>
      <w:r w:rsidR="00D44A79" w:rsidRPr="00CB4FB1">
        <w:rPr>
          <w:bCs/>
          <w:color w:val="auto"/>
        </w:rPr>
        <w:t>202</w:t>
      </w:r>
      <w:r w:rsidR="00307284" w:rsidRPr="00CB4FB1">
        <w:rPr>
          <w:bCs/>
          <w:color w:val="auto"/>
        </w:rPr>
        <w:t>3</w:t>
      </w:r>
      <w:r w:rsidR="00D44A79" w:rsidRPr="00CB4FB1">
        <w:rPr>
          <w:bCs/>
          <w:color w:val="auto"/>
        </w:rPr>
        <w:t xml:space="preserve"> год</w:t>
      </w:r>
      <w:r w:rsidR="00CD1D9B" w:rsidRPr="00CB4FB1">
        <w:rPr>
          <w:bCs/>
          <w:color w:val="auto"/>
        </w:rPr>
        <w:t>ы</w:t>
      </w:r>
    </w:p>
    <w:p w:rsidR="00241330" w:rsidRDefault="00241330" w:rsidP="00F024C6">
      <w:pPr>
        <w:pStyle w:val="Default"/>
        <w:jc w:val="center"/>
        <w:rPr>
          <w:b/>
          <w:bCs/>
          <w:color w:val="auto"/>
        </w:rPr>
      </w:pPr>
    </w:p>
    <w:tbl>
      <w:tblPr>
        <w:tblStyle w:val="a6"/>
        <w:tblW w:w="9606" w:type="dxa"/>
        <w:tblLook w:val="04A0" w:firstRow="1" w:lastRow="0" w:firstColumn="1" w:lastColumn="0" w:noHBand="0" w:noVBand="1"/>
      </w:tblPr>
      <w:tblGrid>
        <w:gridCol w:w="4503"/>
        <w:gridCol w:w="1276"/>
        <w:gridCol w:w="1276"/>
        <w:gridCol w:w="1276"/>
        <w:gridCol w:w="1275"/>
      </w:tblGrid>
      <w:tr w:rsidR="00B258AC" w:rsidTr="00B258AC">
        <w:tc>
          <w:tcPr>
            <w:tcW w:w="4503" w:type="dxa"/>
          </w:tcPr>
          <w:p w:rsidR="00241330" w:rsidRPr="00241330" w:rsidRDefault="0024133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 w:rsidRPr="00241330">
              <w:rPr>
                <w:bCs/>
                <w:color w:val="auto"/>
                <w:sz w:val="22"/>
                <w:szCs w:val="22"/>
              </w:rPr>
              <w:t>Показатель</w:t>
            </w:r>
          </w:p>
        </w:tc>
        <w:tc>
          <w:tcPr>
            <w:tcW w:w="1276" w:type="dxa"/>
          </w:tcPr>
          <w:p w:rsidR="00241330" w:rsidRDefault="0024133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2020 год</w:t>
            </w:r>
          </w:p>
          <w:p w:rsidR="00A0374A" w:rsidRPr="00A0374A" w:rsidRDefault="00A0374A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(оценка)</w:t>
            </w:r>
          </w:p>
        </w:tc>
        <w:tc>
          <w:tcPr>
            <w:tcW w:w="1276" w:type="dxa"/>
          </w:tcPr>
          <w:p w:rsidR="00241330" w:rsidRDefault="0024133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2021 год</w:t>
            </w:r>
          </w:p>
          <w:p w:rsidR="00A0374A" w:rsidRPr="00241330" w:rsidRDefault="00A0374A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(прогноз)</w:t>
            </w:r>
          </w:p>
        </w:tc>
        <w:tc>
          <w:tcPr>
            <w:tcW w:w="1276" w:type="dxa"/>
          </w:tcPr>
          <w:p w:rsidR="00241330" w:rsidRDefault="0024133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2022 год</w:t>
            </w:r>
          </w:p>
          <w:p w:rsidR="00A0374A" w:rsidRPr="00241330" w:rsidRDefault="00A0374A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(прогноз)</w:t>
            </w:r>
          </w:p>
        </w:tc>
        <w:tc>
          <w:tcPr>
            <w:tcW w:w="1275" w:type="dxa"/>
          </w:tcPr>
          <w:p w:rsidR="00241330" w:rsidRDefault="0024133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2023 год</w:t>
            </w:r>
          </w:p>
          <w:p w:rsidR="00A0374A" w:rsidRPr="00241330" w:rsidRDefault="00A0374A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(прогноз)</w:t>
            </w:r>
          </w:p>
        </w:tc>
      </w:tr>
      <w:tr w:rsidR="00B258AC" w:rsidTr="00B258AC">
        <w:tc>
          <w:tcPr>
            <w:tcW w:w="4503" w:type="dxa"/>
          </w:tcPr>
          <w:p w:rsidR="00241330" w:rsidRPr="00241330" w:rsidRDefault="00710060" w:rsidP="00710060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241330" w:rsidRPr="00241330" w:rsidRDefault="0071006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41330" w:rsidRPr="00241330" w:rsidRDefault="0071006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241330" w:rsidRPr="00241330" w:rsidRDefault="0071006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241330" w:rsidRPr="00241330" w:rsidRDefault="00710060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5</w:t>
            </w:r>
          </w:p>
        </w:tc>
      </w:tr>
      <w:tr w:rsidR="00B258AC" w:rsidTr="00B258AC">
        <w:tc>
          <w:tcPr>
            <w:tcW w:w="4503" w:type="dxa"/>
          </w:tcPr>
          <w:p w:rsidR="00241330" w:rsidRPr="00241330" w:rsidRDefault="00710060" w:rsidP="00710060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Цена на нефть, </w:t>
            </w:r>
            <w:r w:rsidRPr="00710060">
              <w:rPr>
                <w:bCs/>
                <w:color w:val="auto"/>
                <w:sz w:val="22"/>
                <w:szCs w:val="22"/>
              </w:rPr>
              <w:t>долл./баррель</w:t>
            </w:r>
          </w:p>
        </w:tc>
        <w:tc>
          <w:tcPr>
            <w:tcW w:w="1276" w:type="dxa"/>
          </w:tcPr>
          <w:p w:rsidR="00241330" w:rsidRPr="00241330" w:rsidRDefault="0039703E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41,8</w:t>
            </w:r>
          </w:p>
        </w:tc>
        <w:tc>
          <w:tcPr>
            <w:tcW w:w="1276" w:type="dxa"/>
          </w:tcPr>
          <w:p w:rsidR="00241330" w:rsidRPr="00241330" w:rsidRDefault="0039703E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45</w:t>
            </w:r>
            <w:r w:rsidR="00B258AC">
              <w:rPr>
                <w:bCs/>
                <w:color w:val="auto"/>
                <w:sz w:val="22"/>
                <w:szCs w:val="22"/>
              </w:rPr>
              <w:t>,3</w:t>
            </w:r>
          </w:p>
        </w:tc>
        <w:tc>
          <w:tcPr>
            <w:tcW w:w="1276" w:type="dxa"/>
          </w:tcPr>
          <w:p w:rsidR="00241330" w:rsidRPr="00241330" w:rsidRDefault="0039703E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46</w:t>
            </w:r>
            <w:r w:rsidR="00B258AC">
              <w:rPr>
                <w:bCs/>
                <w:color w:val="auto"/>
                <w:sz w:val="22"/>
                <w:szCs w:val="22"/>
              </w:rPr>
              <w:t>,6</w:t>
            </w:r>
          </w:p>
        </w:tc>
        <w:tc>
          <w:tcPr>
            <w:tcW w:w="1275" w:type="dxa"/>
          </w:tcPr>
          <w:p w:rsidR="00241330" w:rsidRPr="00241330" w:rsidRDefault="00B258AC" w:rsidP="0039703E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</w:t>
            </w:r>
            <w:r w:rsidR="0039703E">
              <w:rPr>
                <w:bCs/>
                <w:color w:val="auto"/>
                <w:sz w:val="22"/>
                <w:szCs w:val="22"/>
              </w:rPr>
              <w:t>7</w:t>
            </w:r>
            <w:r>
              <w:rPr>
                <w:bCs/>
                <w:color w:val="auto"/>
                <w:sz w:val="22"/>
                <w:szCs w:val="22"/>
              </w:rPr>
              <w:t>,5</w:t>
            </w:r>
          </w:p>
        </w:tc>
      </w:tr>
      <w:tr w:rsidR="00B258AC" w:rsidTr="00B258AC">
        <w:tc>
          <w:tcPr>
            <w:tcW w:w="4503" w:type="dxa"/>
          </w:tcPr>
          <w:p w:rsidR="00241330" w:rsidRPr="00241330" w:rsidRDefault="00710060" w:rsidP="00710060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Объем добычи нефти, </w:t>
            </w:r>
            <w:r w:rsidRPr="00710060">
              <w:rPr>
                <w:bCs/>
                <w:color w:val="auto"/>
                <w:sz w:val="22"/>
                <w:szCs w:val="22"/>
              </w:rPr>
              <w:t>млн. тонн</w:t>
            </w:r>
          </w:p>
        </w:tc>
        <w:tc>
          <w:tcPr>
            <w:tcW w:w="1276" w:type="dxa"/>
          </w:tcPr>
          <w:p w:rsidR="00241330" w:rsidRPr="00241330" w:rsidRDefault="00B258AC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210,0</w:t>
            </w:r>
          </w:p>
        </w:tc>
        <w:tc>
          <w:tcPr>
            <w:tcW w:w="1276" w:type="dxa"/>
          </w:tcPr>
          <w:p w:rsidR="00241330" w:rsidRPr="00241330" w:rsidRDefault="00B258AC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215,0</w:t>
            </w:r>
          </w:p>
        </w:tc>
        <w:tc>
          <w:tcPr>
            <w:tcW w:w="1276" w:type="dxa"/>
          </w:tcPr>
          <w:p w:rsidR="00241330" w:rsidRPr="00241330" w:rsidRDefault="00B258AC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220,0</w:t>
            </w:r>
          </w:p>
        </w:tc>
        <w:tc>
          <w:tcPr>
            <w:tcW w:w="1275" w:type="dxa"/>
          </w:tcPr>
          <w:p w:rsidR="00241330" w:rsidRPr="00241330" w:rsidRDefault="00B258AC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220,0</w:t>
            </w:r>
          </w:p>
        </w:tc>
      </w:tr>
      <w:tr w:rsidR="00B258AC" w:rsidTr="00B258AC">
        <w:tc>
          <w:tcPr>
            <w:tcW w:w="4503" w:type="dxa"/>
          </w:tcPr>
          <w:p w:rsidR="00241330" w:rsidRPr="00241330" w:rsidRDefault="00710060" w:rsidP="00710060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710060">
              <w:rPr>
                <w:bCs/>
                <w:color w:val="auto"/>
                <w:sz w:val="22"/>
                <w:szCs w:val="22"/>
              </w:rPr>
              <w:t>Курс доллара США к рублю, руб./долл.</w:t>
            </w:r>
          </w:p>
        </w:tc>
        <w:tc>
          <w:tcPr>
            <w:tcW w:w="1276" w:type="dxa"/>
          </w:tcPr>
          <w:p w:rsidR="00241330" w:rsidRPr="00241330" w:rsidRDefault="0039703E" w:rsidP="00F024C6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71,2</w:t>
            </w:r>
          </w:p>
        </w:tc>
        <w:tc>
          <w:tcPr>
            <w:tcW w:w="1276" w:type="dxa"/>
          </w:tcPr>
          <w:p w:rsidR="00241330" w:rsidRPr="00241330" w:rsidRDefault="00B258AC" w:rsidP="0039703E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</w:t>
            </w:r>
            <w:r w:rsidR="0039703E">
              <w:rPr>
                <w:bCs/>
                <w:color w:val="auto"/>
                <w:sz w:val="22"/>
                <w:szCs w:val="22"/>
              </w:rPr>
              <w:t>2</w:t>
            </w:r>
            <w:r>
              <w:rPr>
                <w:bCs/>
                <w:color w:val="auto"/>
                <w:sz w:val="22"/>
                <w:szCs w:val="22"/>
              </w:rPr>
              <w:t>,</w:t>
            </w:r>
            <w:r w:rsidR="0039703E">
              <w:rPr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41330" w:rsidRPr="00241330" w:rsidRDefault="00B258AC" w:rsidP="0039703E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</w:t>
            </w:r>
            <w:r w:rsidR="0039703E">
              <w:rPr>
                <w:bCs/>
                <w:color w:val="auto"/>
                <w:sz w:val="22"/>
                <w:szCs w:val="22"/>
              </w:rPr>
              <w:t>3</w:t>
            </w:r>
            <w:r>
              <w:rPr>
                <w:bCs/>
                <w:color w:val="auto"/>
                <w:sz w:val="22"/>
                <w:szCs w:val="22"/>
              </w:rPr>
              <w:t>,1</w:t>
            </w:r>
          </w:p>
        </w:tc>
        <w:tc>
          <w:tcPr>
            <w:tcW w:w="1275" w:type="dxa"/>
          </w:tcPr>
          <w:p w:rsidR="00241330" w:rsidRPr="00241330" w:rsidRDefault="0039703E" w:rsidP="0039703E">
            <w:pPr>
              <w:pStyle w:val="Default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73</w:t>
            </w:r>
            <w:r w:rsidR="00B258AC">
              <w:rPr>
                <w:bCs/>
                <w:color w:val="auto"/>
                <w:sz w:val="22"/>
                <w:szCs w:val="22"/>
              </w:rPr>
              <w:t>,</w:t>
            </w:r>
            <w:r>
              <w:rPr>
                <w:bCs/>
                <w:color w:val="auto"/>
                <w:sz w:val="22"/>
                <w:szCs w:val="22"/>
              </w:rPr>
              <w:t>8</w:t>
            </w:r>
          </w:p>
        </w:tc>
      </w:tr>
    </w:tbl>
    <w:p w:rsidR="00241330" w:rsidRDefault="00241330" w:rsidP="00F024C6">
      <w:pPr>
        <w:pStyle w:val="Default"/>
        <w:jc w:val="center"/>
        <w:rPr>
          <w:b/>
          <w:bCs/>
          <w:color w:val="auto"/>
        </w:rPr>
      </w:pPr>
    </w:p>
    <w:p w:rsidR="00542861" w:rsidRDefault="006C0B86" w:rsidP="007958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0B86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формировании доходной части бюджета автономного округа учтены следующие изменения </w:t>
      </w:r>
      <w:r w:rsidR="00795857" w:rsidRPr="006C0B86">
        <w:rPr>
          <w:rFonts w:ascii="Times New Roman" w:hAnsi="Times New Roman" w:cs="Times New Roman"/>
          <w:sz w:val="24"/>
          <w:szCs w:val="24"/>
        </w:rPr>
        <w:t>законодательства Российской Федерации и автономного округа</w:t>
      </w:r>
      <w:r w:rsidR="00542861">
        <w:rPr>
          <w:rFonts w:ascii="Times New Roman" w:hAnsi="Times New Roman" w:cs="Times New Roman"/>
          <w:sz w:val="24"/>
          <w:szCs w:val="24"/>
        </w:rPr>
        <w:t>:</w:t>
      </w:r>
    </w:p>
    <w:p w:rsidR="00B90CD1" w:rsidRDefault="005239A5" w:rsidP="007958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122BE">
        <w:rPr>
          <w:rFonts w:ascii="Times New Roman" w:hAnsi="Times New Roman" w:cs="Times New Roman"/>
          <w:sz w:val="24"/>
          <w:szCs w:val="24"/>
        </w:rPr>
        <w:t xml:space="preserve">зачисление </w:t>
      </w:r>
      <w:r w:rsidR="004122BE" w:rsidRPr="004122BE">
        <w:rPr>
          <w:rFonts w:ascii="Times New Roman" w:hAnsi="Times New Roman" w:cs="Times New Roman"/>
          <w:sz w:val="24"/>
          <w:szCs w:val="24"/>
        </w:rPr>
        <w:t xml:space="preserve">до 2024 года в бюджеты регионов </w:t>
      </w:r>
      <w:r w:rsidR="004122BE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r w:rsidR="004960A8" w:rsidRPr="004122BE">
        <w:rPr>
          <w:rFonts w:ascii="Times New Roman" w:hAnsi="Times New Roman" w:cs="Times New Roman"/>
          <w:sz w:val="24"/>
          <w:szCs w:val="24"/>
        </w:rPr>
        <w:t xml:space="preserve">штрафов, налагаемых должностными лицами </w:t>
      </w:r>
      <w:r w:rsidR="00462BF6">
        <w:rPr>
          <w:rFonts w:ascii="Times New Roman" w:hAnsi="Times New Roman" w:cs="Times New Roman"/>
          <w:sz w:val="24"/>
          <w:szCs w:val="24"/>
        </w:rPr>
        <w:t>федеральных органов исполнительной власти</w:t>
      </w:r>
      <w:r w:rsidR="004960A8" w:rsidRPr="004122BE">
        <w:rPr>
          <w:rFonts w:ascii="Times New Roman" w:hAnsi="Times New Roman" w:cs="Times New Roman"/>
          <w:sz w:val="24"/>
          <w:szCs w:val="24"/>
        </w:rPr>
        <w:t>, за нарушение правил движения тяжеловесного и крупногабаритного транспорта на автомобильных дорогах общего пользования регионального, межмуниципального и местного значения</w:t>
      </w:r>
      <w:r w:rsidR="00B90CD1">
        <w:rPr>
          <w:rFonts w:ascii="Times New Roman" w:hAnsi="Times New Roman" w:cs="Times New Roman"/>
          <w:sz w:val="24"/>
          <w:szCs w:val="24"/>
        </w:rPr>
        <w:t>;</w:t>
      </w:r>
    </w:p>
    <w:p w:rsidR="00C6602E" w:rsidRDefault="00C6602E" w:rsidP="007958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03C8">
        <w:rPr>
          <w:rFonts w:ascii="Times New Roman" w:hAnsi="Times New Roman" w:cs="Times New Roman"/>
        </w:rPr>
        <w:t xml:space="preserve">- </w:t>
      </w:r>
      <w:r w:rsidRPr="00BF7ADA">
        <w:rPr>
          <w:rFonts w:ascii="Times New Roman" w:hAnsi="Times New Roman" w:cs="Times New Roman"/>
          <w:sz w:val="24"/>
          <w:szCs w:val="24"/>
        </w:rPr>
        <w:t>расширение параметров и периметра действия инвестиционного налогового вычета</w:t>
      </w:r>
      <w:r w:rsidR="00D11593" w:rsidRPr="00BF7ADA">
        <w:rPr>
          <w:rFonts w:ascii="Times New Roman" w:hAnsi="Times New Roman" w:cs="Times New Roman"/>
          <w:sz w:val="24"/>
          <w:szCs w:val="24"/>
        </w:rPr>
        <w:t xml:space="preserve"> по налогу на прибыль организаций;</w:t>
      </w:r>
    </w:p>
    <w:p w:rsidR="0080399A" w:rsidRPr="00E45058" w:rsidRDefault="00F918CB" w:rsidP="00E450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58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45058" w:rsidRPr="00E45058">
        <w:rPr>
          <w:rFonts w:ascii="Times New Roman" w:hAnsi="Times New Roman" w:cs="Times New Roman"/>
          <w:sz w:val="24"/>
          <w:szCs w:val="24"/>
        </w:rPr>
        <w:t>отмена с</w:t>
      </w:r>
      <w:r w:rsidR="00072104" w:rsidRPr="00E45058">
        <w:rPr>
          <w:rFonts w:ascii="Times New Roman" w:hAnsi="Times New Roman" w:cs="Times New Roman"/>
          <w:sz w:val="24"/>
          <w:szCs w:val="24"/>
        </w:rPr>
        <w:t xml:space="preserve"> 2023 года </w:t>
      </w:r>
      <w:r w:rsidRPr="00E45058">
        <w:rPr>
          <w:rFonts w:ascii="Times New Roman" w:hAnsi="Times New Roman" w:cs="Times New Roman"/>
          <w:sz w:val="24"/>
          <w:szCs w:val="24"/>
        </w:rPr>
        <w:t>действи</w:t>
      </w:r>
      <w:r w:rsidR="00EA6E31" w:rsidRPr="00E45058">
        <w:rPr>
          <w:rFonts w:ascii="Times New Roman" w:hAnsi="Times New Roman" w:cs="Times New Roman"/>
          <w:sz w:val="24"/>
          <w:szCs w:val="24"/>
        </w:rPr>
        <w:t>я</w:t>
      </w:r>
      <w:r w:rsidRPr="00E45058">
        <w:rPr>
          <w:rFonts w:ascii="Times New Roman" w:hAnsi="Times New Roman" w:cs="Times New Roman"/>
          <w:sz w:val="24"/>
          <w:szCs w:val="24"/>
        </w:rPr>
        <w:t xml:space="preserve"> налоговых льгот</w:t>
      </w:r>
      <w:r w:rsidR="00E70356" w:rsidRPr="00E45058">
        <w:rPr>
          <w:rFonts w:ascii="Times New Roman" w:hAnsi="Times New Roman" w:cs="Times New Roman"/>
          <w:sz w:val="24"/>
          <w:szCs w:val="24"/>
        </w:rPr>
        <w:t xml:space="preserve"> по налогу на прибыль организаций</w:t>
      </w:r>
      <w:r w:rsidRPr="00E45058">
        <w:rPr>
          <w:rFonts w:ascii="Times New Roman" w:hAnsi="Times New Roman" w:cs="Times New Roman"/>
          <w:sz w:val="24"/>
          <w:szCs w:val="24"/>
        </w:rPr>
        <w:t>, установленных законодательством автономного округа</w:t>
      </w:r>
      <w:r w:rsidR="00636B20" w:rsidRPr="00E45058">
        <w:rPr>
          <w:rFonts w:ascii="Times New Roman" w:hAnsi="Times New Roman" w:cs="Times New Roman"/>
          <w:sz w:val="24"/>
          <w:szCs w:val="24"/>
        </w:rPr>
        <w:t>;</w:t>
      </w:r>
      <w:r w:rsidR="0080399A" w:rsidRPr="00E450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593" w:rsidRPr="00E45058" w:rsidRDefault="00D11593" w:rsidP="00E4505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058">
        <w:rPr>
          <w:rFonts w:ascii="Times New Roman" w:hAnsi="Times New Roman" w:cs="Times New Roman"/>
          <w:sz w:val="24"/>
          <w:szCs w:val="24"/>
        </w:rPr>
        <w:t>-</w:t>
      </w:r>
      <w:r w:rsidR="00522884" w:rsidRPr="00E45058">
        <w:rPr>
          <w:rFonts w:ascii="Times New Roman" w:hAnsi="Times New Roman" w:cs="Times New Roman"/>
          <w:sz w:val="24"/>
          <w:szCs w:val="24"/>
        </w:rPr>
        <w:t xml:space="preserve"> снижение с 2021 года требований к применению пониженной ставки по налогу на прибыль для организаций, являющихся владельцами лицензий на пользование участками недр, содержащими месторождения углеводородного сырья и осуществляющих инвестиции в основной капитал</w:t>
      </w:r>
      <w:r w:rsidR="00F044E0" w:rsidRPr="00E45058">
        <w:rPr>
          <w:rFonts w:ascii="Times New Roman" w:hAnsi="Times New Roman" w:cs="Times New Roman"/>
          <w:sz w:val="24"/>
          <w:szCs w:val="24"/>
        </w:rPr>
        <w:t>;</w:t>
      </w:r>
    </w:p>
    <w:p w:rsidR="00AB7C6F" w:rsidRDefault="00F044E0" w:rsidP="00090302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4D7B">
        <w:rPr>
          <w:rFonts w:ascii="Times New Roman" w:hAnsi="Times New Roman" w:cs="Times New Roman"/>
          <w:sz w:val="24"/>
          <w:szCs w:val="24"/>
        </w:rPr>
        <w:t xml:space="preserve">- </w:t>
      </w:r>
      <w:r w:rsidR="000C7C38" w:rsidRPr="00024D7B">
        <w:rPr>
          <w:rFonts w:ascii="Times New Roman" w:hAnsi="Times New Roman" w:cs="Times New Roman"/>
          <w:sz w:val="24"/>
          <w:szCs w:val="24"/>
        </w:rPr>
        <w:t xml:space="preserve">снижение ставки по налогу на имущество организаций в отношении </w:t>
      </w:r>
      <w:r w:rsidR="009C3B44" w:rsidRPr="00024D7B">
        <w:rPr>
          <w:rFonts w:ascii="Times New Roman" w:hAnsi="Times New Roman" w:cs="Times New Roman"/>
          <w:sz w:val="24"/>
          <w:szCs w:val="24"/>
        </w:rPr>
        <w:t xml:space="preserve">объектов </w:t>
      </w:r>
      <w:r w:rsidR="000C7C38" w:rsidRPr="00024D7B">
        <w:rPr>
          <w:rFonts w:ascii="Times New Roman" w:hAnsi="Times New Roman" w:cs="Times New Roman"/>
          <w:sz w:val="24"/>
          <w:szCs w:val="24"/>
        </w:rPr>
        <w:t>недвижимого имущества, налоговая база по которым определяется как их кадастровая стоимость: в 2021 году до 1%, в 2022 году до 1,3%, в 2023 году до 1,6%</w:t>
      </w:r>
      <w:r w:rsidR="000A18DF">
        <w:rPr>
          <w:rFonts w:ascii="Times New Roman" w:hAnsi="Times New Roman" w:cs="Times New Roman"/>
          <w:sz w:val="24"/>
          <w:szCs w:val="24"/>
        </w:rPr>
        <w:t xml:space="preserve"> (выпадающие доходы от</w:t>
      </w:r>
      <w:r w:rsidR="00BE4323" w:rsidRPr="00BE4323">
        <w:rPr>
          <w:rFonts w:ascii="Times New Roman" w:hAnsi="Times New Roman" w:cs="Times New Roman"/>
          <w:sz w:val="24"/>
          <w:szCs w:val="24"/>
        </w:rPr>
        <w:t xml:space="preserve"> снижения ставки по налогу </w:t>
      </w:r>
      <w:r w:rsidR="00BC2198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BE4323" w:rsidRPr="00BE4323">
        <w:rPr>
          <w:rFonts w:ascii="Times New Roman" w:hAnsi="Times New Roman" w:cs="Times New Roman"/>
          <w:sz w:val="24"/>
          <w:szCs w:val="24"/>
        </w:rPr>
        <w:t>компенсир</w:t>
      </w:r>
      <w:r w:rsidR="00BC2198">
        <w:rPr>
          <w:rFonts w:ascii="Times New Roman" w:hAnsi="Times New Roman" w:cs="Times New Roman"/>
          <w:sz w:val="24"/>
          <w:szCs w:val="24"/>
        </w:rPr>
        <w:t>ованы</w:t>
      </w:r>
      <w:r w:rsidR="00022FE8">
        <w:rPr>
          <w:rFonts w:ascii="Times New Roman" w:hAnsi="Times New Roman" w:cs="Times New Roman"/>
          <w:sz w:val="24"/>
          <w:szCs w:val="24"/>
        </w:rPr>
        <w:t xml:space="preserve"> </w:t>
      </w:r>
      <w:r w:rsidR="00BE4323" w:rsidRPr="00BE4323">
        <w:rPr>
          <w:rFonts w:ascii="Times New Roman" w:hAnsi="Times New Roman" w:cs="Times New Roman"/>
          <w:sz w:val="24"/>
          <w:szCs w:val="24"/>
        </w:rPr>
        <w:t xml:space="preserve">увеличением </w:t>
      </w:r>
      <w:r w:rsidR="00541EA7">
        <w:rPr>
          <w:rFonts w:ascii="Times New Roman" w:hAnsi="Times New Roman" w:cs="Times New Roman"/>
          <w:sz w:val="24"/>
          <w:szCs w:val="24"/>
        </w:rPr>
        <w:t xml:space="preserve">суммы </w:t>
      </w:r>
      <w:r w:rsidR="00DA5718">
        <w:rPr>
          <w:rFonts w:ascii="Times New Roman" w:hAnsi="Times New Roman" w:cs="Times New Roman"/>
          <w:sz w:val="24"/>
          <w:szCs w:val="24"/>
        </w:rPr>
        <w:t xml:space="preserve">исчисленного </w:t>
      </w:r>
      <w:r w:rsidR="00BE4323" w:rsidRPr="00BE4323">
        <w:rPr>
          <w:rFonts w:ascii="Times New Roman" w:hAnsi="Times New Roman" w:cs="Times New Roman"/>
          <w:sz w:val="24"/>
          <w:szCs w:val="24"/>
        </w:rPr>
        <w:t>налога за счет роста кадастровой стоимости и ко</w:t>
      </w:r>
      <w:r w:rsidR="005A1173">
        <w:rPr>
          <w:rFonts w:ascii="Times New Roman" w:hAnsi="Times New Roman" w:cs="Times New Roman"/>
          <w:sz w:val="24"/>
          <w:szCs w:val="24"/>
        </w:rPr>
        <w:t>личества объектов</w:t>
      </w:r>
      <w:r w:rsidR="00AB7C6F">
        <w:rPr>
          <w:rFonts w:ascii="Times New Roman" w:hAnsi="Times New Roman" w:cs="Times New Roman"/>
          <w:sz w:val="24"/>
          <w:szCs w:val="24"/>
        </w:rPr>
        <w:t>,</w:t>
      </w:r>
      <w:r w:rsidR="005A1173">
        <w:rPr>
          <w:rFonts w:ascii="Times New Roman" w:hAnsi="Times New Roman" w:cs="Times New Roman"/>
          <w:sz w:val="24"/>
          <w:szCs w:val="24"/>
        </w:rPr>
        <w:t xml:space="preserve"> включенных в п</w:t>
      </w:r>
      <w:r w:rsidR="00BE4323" w:rsidRPr="00BE4323">
        <w:rPr>
          <w:rFonts w:ascii="Times New Roman" w:hAnsi="Times New Roman" w:cs="Times New Roman"/>
          <w:sz w:val="24"/>
          <w:szCs w:val="24"/>
        </w:rPr>
        <w:t>еречень</w:t>
      </w:r>
      <w:r w:rsidR="005A1173">
        <w:rPr>
          <w:rFonts w:ascii="Times New Roman" w:hAnsi="Times New Roman" w:cs="Times New Roman"/>
          <w:sz w:val="24"/>
          <w:szCs w:val="24"/>
        </w:rPr>
        <w:t xml:space="preserve"> объектов недвижимого имущества</w:t>
      </w:r>
      <w:r w:rsidR="001713DB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="00D40DEF">
        <w:rPr>
          <w:rFonts w:ascii="Times New Roman" w:hAnsi="Times New Roman" w:cs="Times New Roman"/>
          <w:sz w:val="24"/>
          <w:szCs w:val="24"/>
        </w:rPr>
        <w:t xml:space="preserve">налоговая база </w:t>
      </w:r>
      <w:r w:rsidR="00F53A12">
        <w:rPr>
          <w:rFonts w:ascii="Times New Roman" w:hAnsi="Times New Roman" w:cs="Times New Roman"/>
          <w:sz w:val="24"/>
          <w:szCs w:val="24"/>
        </w:rPr>
        <w:t>определяется как кадастровая стоимость</w:t>
      </w:r>
      <w:r w:rsidR="000A18DF">
        <w:rPr>
          <w:rFonts w:ascii="Times New Roman" w:hAnsi="Times New Roman" w:cs="Times New Roman"/>
          <w:sz w:val="24"/>
          <w:szCs w:val="24"/>
        </w:rPr>
        <w:t>)</w:t>
      </w:r>
      <w:r w:rsidR="000C7C38" w:rsidRPr="00024D7B">
        <w:rPr>
          <w:rFonts w:ascii="Times New Roman" w:hAnsi="Times New Roman" w:cs="Times New Roman"/>
          <w:sz w:val="24"/>
          <w:szCs w:val="24"/>
        </w:rPr>
        <w:t>;</w:t>
      </w:r>
      <w:r w:rsidR="000C7C38" w:rsidRPr="007B32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58C6" w:rsidRDefault="000E5F98" w:rsidP="00090302">
      <w:pPr>
        <w:autoSpaceDE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320D">
        <w:rPr>
          <w:rFonts w:ascii="Times New Roman" w:hAnsi="Times New Roman" w:cs="Times New Roman"/>
          <w:sz w:val="24"/>
          <w:szCs w:val="24"/>
        </w:rPr>
        <w:t xml:space="preserve">- </w:t>
      </w:r>
      <w:r w:rsidR="00A03597" w:rsidRPr="007B320D">
        <w:rPr>
          <w:rFonts w:ascii="Times New Roman" w:hAnsi="Times New Roman" w:cs="Times New Roman"/>
          <w:sz w:val="24"/>
          <w:szCs w:val="24"/>
        </w:rPr>
        <w:t xml:space="preserve">установление </w:t>
      </w:r>
      <w:r w:rsidR="0045350F" w:rsidRPr="007B320D">
        <w:rPr>
          <w:rFonts w:ascii="Times New Roman" w:hAnsi="Times New Roman" w:cs="Times New Roman"/>
          <w:sz w:val="24"/>
          <w:szCs w:val="24"/>
        </w:rPr>
        <w:t xml:space="preserve">с 2021 года </w:t>
      </w:r>
      <w:r w:rsidR="00A03597" w:rsidRPr="007B320D">
        <w:rPr>
          <w:rFonts w:ascii="Times New Roman" w:hAnsi="Times New Roman" w:cs="Times New Roman"/>
          <w:sz w:val="24"/>
          <w:szCs w:val="24"/>
        </w:rPr>
        <w:t>льготы по налогу на имущество для организаций,</w:t>
      </w:r>
      <w:r w:rsidR="00897F7A">
        <w:rPr>
          <w:rFonts w:ascii="Times New Roman" w:hAnsi="Times New Roman" w:cs="Times New Roman"/>
          <w:sz w:val="24"/>
          <w:szCs w:val="24"/>
        </w:rPr>
        <w:t xml:space="preserve"> в отношении имущества, созданного в процессе реализации инвестиционных проектов, по которым з</w:t>
      </w:r>
      <w:r w:rsidR="00A03597" w:rsidRPr="007B320D">
        <w:rPr>
          <w:rFonts w:ascii="Times New Roman" w:hAnsi="Times New Roman" w:cs="Times New Roman"/>
          <w:sz w:val="24"/>
          <w:szCs w:val="24"/>
        </w:rPr>
        <w:t>аключ</w:t>
      </w:r>
      <w:r w:rsidR="00897F7A">
        <w:rPr>
          <w:rFonts w:ascii="Times New Roman" w:hAnsi="Times New Roman" w:cs="Times New Roman"/>
          <w:sz w:val="24"/>
          <w:szCs w:val="24"/>
        </w:rPr>
        <w:t>ены</w:t>
      </w:r>
      <w:r w:rsidR="00A03597" w:rsidRPr="007B320D">
        <w:rPr>
          <w:rFonts w:ascii="Times New Roman" w:hAnsi="Times New Roman" w:cs="Times New Roman"/>
          <w:sz w:val="24"/>
          <w:szCs w:val="24"/>
        </w:rPr>
        <w:t xml:space="preserve"> соглашения о защите и поощрении капиталовложений</w:t>
      </w:r>
      <w:r w:rsidR="00897F7A">
        <w:rPr>
          <w:rFonts w:ascii="Times New Roman" w:hAnsi="Times New Roman" w:cs="Times New Roman"/>
          <w:sz w:val="24"/>
          <w:szCs w:val="24"/>
        </w:rPr>
        <w:t>;</w:t>
      </w:r>
    </w:p>
    <w:p w:rsidR="007F232F" w:rsidRDefault="00136F98" w:rsidP="007F232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3617">
        <w:rPr>
          <w:rFonts w:ascii="Times New Roman" w:hAnsi="Times New Roman" w:cs="Times New Roman"/>
          <w:sz w:val="24"/>
          <w:szCs w:val="24"/>
        </w:rPr>
        <w:t>налогообложение гаражей, машино-мест, объектов незавершенного строительства, жилых строений, садовых домов, хозяйственных строений или сооружений, расположенных на земельных участках, предоставленных для ведения личного подсобного хозяйства</w:t>
      </w:r>
      <w:r w:rsidR="007552CB">
        <w:rPr>
          <w:rFonts w:ascii="Times New Roman" w:hAnsi="Times New Roman" w:cs="Times New Roman"/>
          <w:sz w:val="24"/>
          <w:szCs w:val="24"/>
        </w:rPr>
        <w:t xml:space="preserve">, огородничества, садоводства или ИЖС налогом на имущество организаций </w:t>
      </w:r>
      <w:r w:rsidR="008170B1">
        <w:rPr>
          <w:rFonts w:ascii="Times New Roman" w:hAnsi="Times New Roman" w:cs="Times New Roman"/>
          <w:sz w:val="24"/>
          <w:szCs w:val="24"/>
        </w:rPr>
        <w:t>от</w:t>
      </w:r>
      <w:r w:rsidR="00BB3890">
        <w:rPr>
          <w:rFonts w:ascii="Times New Roman" w:hAnsi="Times New Roman" w:cs="Times New Roman"/>
          <w:sz w:val="24"/>
          <w:szCs w:val="24"/>
        </w:rPr>
        <w:t xml:space="preserve"> кадастровой стоимости</w:t>
      </w:r>
      <w:r w:rsidR="007F232F">
        <w:rPr>
          <w:rFonts w:ascii="Times New Roman" w:hAnsi="Times New Roman" w:cs="Times New Roman"/>
          <w:sz w:val="24"/>
          <w:szCs w:val="24"/>
        </w:rPr>
        <w:t>.</w:t>
      </w:r>
    </w:p>
    <w:p w:rsidR="00A25E8D" w:rsidRPr="00B0125A" w:rsidRDefault="00804A74" w:rsidP="002A2D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125A">
        <w:rPr>
          <w:rFonts w:ascii="Times New Roman" w:hAnsi="Times New Roman" w:cs="Times New Roman"/>
          <w:sz w:val="24"/>
          <w:szCs w:val="24"/>
        </w:rPr>
        <w:t>Исходя из</w:t>
      </w:r>
      <w:r w:rsidR="00A571EF" w:rsidRPr="00B0125A">
        <w:rPr>
          <w:rFonts w:ascii="Times New Roman" w:hAnsi="Times New Roman" w:cs="Times New Roman"/>
          <w:sz w:val="24"/>
          <w:szCs w:val="24"/>
        </w:rPr>
        <w:t xml:space="preserve"> основных</w:t>
      </w:r>
      <w:r w:rsidR="00190198" w:rsidRPr="00B0125A">
        <w:rPr>
          <w:rFonts w:ascii="Times New Roman" w:hAnsi="Times New Roman" w:cs="Times New Roman"/>
          <w:sz w:val="24"/>
          <w:szCs w:val="24"/>
        </w:rPr>
        <w:t xml:space="preserve"> </w:t>
      </w:r>
      <w:r w:rsidR="00625F88" w:rsidRPr="00B0125A">
        <w:rPr>
          <w:rFonts w:ascii="Times New Roman" w:hAnsi="Times New Roman" w:cs="Times New Roman"/>
          <w:sz w:val="24"/>
          <w:szCs w:val="24"/>
        </w:rPr>
        <w:t>показателей</w:t>
      </w:r>
      <w:r w:rsidR="008A2DA2" w:rsidRPr="00B0125A">
        <w:rPr>
          <w:rFonts w:ascii="Times New Roman" w:hAnsi="Times New Roman" w:cs="Times New Roman"/>
          <w:sz w:val="24"/>
          <w:szCs w:val="24"/>
        </w:rPr>
        <w:t xml:space="preserve"> прогноза социально-экономического развития</w:t>
      </w:r>
      <w:r w:rsidR="0068741B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1813D0">
        <w:rPr>
          <w:rFonts w:ascii="Times New Roman" w:hAnsi="Times New Roman" w:cs="Times New Roman"/>
          <w:sz w:val="24"/>
          <w:szCs w:val="24"/>
        </w:rPr>
        <w:t xml:space="preserve"> и</w:t>
      </w:r>
      <w:r w:rsidR="00AE373C">
        <w:rPr>
          <w:rFonts w:ascii="Times New Roman" w:hAnsi="Times New Roman" w:cs="Times New Roman"/>
          <w:sz w:val="24"/>
          <w:szCs w:val="24"/>
        </w:rPr>
        <w:t xml:space="preserve"> </w:t>
      </w:r>
      <w:r w:rsidR="00EE1E62">
        <w:rPr>
          <w:rFonts w:ascii="Times New Roman" w:hAnsi="Times New Roman" w:cs="Times New Roman"/>
          <w:sz w:val="24"/>
          <w:szCs w:val="24"/>
        </w:rPr>
        <w:t>перечисленны</w:t>
      </w:r>
      <w:r w:rsidR="00AE373C">
        <w:rPr>
          <w:rFonts w:ascii="Times New Roman" w:hAnsi="Times New Roman" w:cs="Times New Roman"/>
          <w:sz w:val="24"/>
          <w:szCs w:val="24"/>
        </w:rPr>
        <w:t>х</w:t>
      </w:r>
      <w:r w:rsidR="00EE1E62">
        <w:rPr>
          <w:rFonts w:ascii="Times New Roman" w:hAnsi="Times New Roman" w:cs="Times New Roman"/>
          <w:sz w:val="24"/>
          <w:szCs w:val="24"/>
        </w:rPr>
        <w:t xml:space="preserve"> </w:t>
      </w:r>
      <w:r w:rsidR="00077657">
        <w:rPr>
          <w:rFonts w:ascii="Times New Roman" w:hAnsi="Times New Roman" w:cs="Times New Roman"/>
          <w:sz w:val="24"/>
          <w:szCs w:val="24"/>
        </w:rPr>
        <w:t xml:space="preserve">выше </w:t>
      </w:r>
      <w:r w:rsidR="008A2DA2" w:rsidRPr="00B0125A">
        <w:rPr>
          <w:rFonts w:ascii="Times New Roman" w:hAnsi="Times New Roman" w:cs="Times New Roman"/>
          <w:sz w:val="24"/>
          <w:szCs w:val="24"/>
        </w:rPr>
        <w:t>изменени</w:t>
      </w:r>
      <w:r w:rsidR="00CE27FA">
        <w:rPr>
          <w:rFonts w:ascii="Times New Roman" w:hAnsi="Times New Roman" w:cs="Times New Roman"/>
          <w:sz w:val="24"/>
          <w:szCs w:val="24"/>
        </w:rPr>
        <w:t>й</w:t>
      </w:r>
      <w:r w:rsidR="008A2DA2" w:rsidRPr="00B0125A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F14414" w:rsidRPr="00B0125A">
        <w:rPr>
          <w:rFonts w:ascii="Times New Roman" w:hAnsi="Times New Roman" w:cs="Times New Roman"/>
          <w:sz w:val="24"/>
          <w:szCs w:val="24"/>
        </w:rPr>
        <w:t>,</w:t>
      </w:r>
      <w:r w:rsidR="00190198" w:rsidRPr="00B0125A">
        <w:rPr>
          <w:rFonts w:ascii="Times New Roman" w:hAnsi="Times New Roman" w:cs="Times New Roman"/>
          <w:sz w:val="24"/>
          <w:szCs w:val="24"/>
        </w:rPr>
        <w:t xml:space="preserve"> </w:t>
      </w:r>
      <w:r w:rsidR="00A25E8D" w:rsidRPr="00B0125A">
        <w:rPr>
          <w:rFonts w:ascii="Times New Roman" w:hAnsi="Times New Roman" w:cs="Times New Roman"/>
          <w:sz w:val="24"/>
          <w:szCs w:val="24"/>
        </w:rPr>
        <w:t>доходы бюджета автономного округа на 20</w:t>
      </w:r>
      <w:r w:rsidR="001D2294" w:rsidRPr="00B0125A">
        <w:rPr>
          <w:rFonts w:ascii="Times New Roman" w:hAnsi="Times New Roman" w:cs="Times New Roman"/>
          <w:sz w:val="24"/>
          <w:szCs w:val="24"/>
        </w:rPr>
        <w:t>2</w:t>
      </w:r>
      <w:r w:rsidR="00844A9D" w:rsidRPr="00B0125A">
        <w:rPr>
          <w:rFonts w:ascii="Times New Roman" w:hAnsi="Times New Roman" w:cs="Times New Roman"/>
          <w:sz w:val="24"/>
          <w:szCs w:val="24"/>
        </w:rPr>
        <w:t>1</w:t>
      </w:r>
      <w:r w:rsidR="00A25E8D" w:rsidRPr="00B0125A">
        <w:rPr>
          <w:rFonts w:ascii="Times New Roman" w:hAnsi="Times New Roman" w:cs="Times New Roman"/>
          <w:sz w:val="24"/>
          <w:szCs w:val="24"/>
        </w:rPr>
        <w:t xml:space="preserve"> </w:t>
      </w:r>
      <w:r w:rsidR="00C86801" w:rsidRPr="00B0125A">
        <w:rPr>
          <w:rFonts w:ascii="Times New Roman" w:hAnsi="Times New Roman" w:cs="Times New Roman"/>
          <w:sz w:val="24"/>
          <w:szCs w:val="24"/>
        </w:rPr>
        <w:t>– 202</w:t>
      </w:r>
      <w:r w:rsidR="00844A9D" w:rsidRPr="00B0125A">
        <w:rPr>
          <w:rFonts w:ascii="Times New Roman" w:hAnsi="Times New Roman" w:cs="Times New Roman"/>
          <w:sz w:val="24"/>
          <w:szCs w:val="24"/>
        </w:rPr>
        <w:t>3</w:t>
      </w:r>
      <w:r w:rsidR="00C86801" w:rsidRPr="00B0125A">
        <w:rPr>
          <w:rFonts w:ascii="Times New Roman" w:hAnsi="Times New Roman" w:cs="Times New Roman"/>
          <w:sz w:val="24"/>
          <w:szCs w:val="24"/>
        </w:rPr>
        <w:t xml:space="preserve"> </w:t>
      </w:r>
      <w:r w:rsidR="00A25E8D" w:rsidRPr="00B0125A">
        <w:rPr>
          <w:rFonts w:ascii="Times New Roman" w:hAnsi="Times New Roman" w:cs="Times New Roman"/>
          <w:sz w:val="24"/>
          <w:szCs w:val="24"/>
        </w:rPr>
        <w:t>год</w:t>
      </w:r>
      <w:r w:rsidR="00C86801" w:rsidRPr="00B0125A">
        <w:rPr>
          <w:rFonts w:ascii="Times New Roman" w:hAnsi="Times New Roman" w:cs="Times New Roman"/>
          <w:sz w:val="24"/>
          <w:szCs w:val="24"/>
        </w:rPr>
        <w:t>ы</w:t>
      </w:r>
      <w:r w:rsidR="00A25E8D" w:rsidRPr="00B0125A">
        <w:rPr>
          <w:rFonts w:ascii="Times New Roman" w:hAnsi="Times New Roman" w:cs="Times New Roman"/>
          <w:sz w:val="24"/>
          <w:szCs w:val="24"/>
        </w:rPr>
        <w:t xml:space="preserve"> составили:</w:t>
      </w:r>
    </w:p>
    <w:p w:rsidR="00A25E8D" w:rsidRPr="00530F97" w:rsidRDefault="00A25E8D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97">
        <w:rPr>
          <w:rFonts w:ascii="Times New Roman" w:hAnsi="Times New Roman" w:cs="Times New Roman"/>
          <w:sz w:val="24"/>
          <w:szCs w:val="24"/>
        </w:rPr>
        <w:t>- на 20</w:t>
      </w:r>
      <w:r w:rsidR="001D2294" w:rsidRPr="00530F97">
        <w:rPr>
          <w:rFonts w:ascii="Times New Roman" w:hAnsi="Times New Roman" w:cs="Times New Roman"/>
          <w:sz w:val="24"/>
          <w:szCs w:val="24"/>
        </w:rPr>
        <w:t>2</w:t>
      </w:r>
      <w:r w:rsidR="002741E2" w:rsidRPr="00530F97">
        <w:rPr>
          <w:rFonts w:ascii="Times New Roman" w:hAnsi="Times New Roman" w:cs="Times New Roman"/>
          <w:sz w:val="24"/>
          <w:szCs w:val="24"/>
        </w:rPr>
        <w:t>1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92815">
        <w:rPr>
          <w:rFonts w:ascii="Times New Roman" w:hAnsi="Times New Roman" w:cs="Times New Roman"/>
          <w:sz w:val="24"/>
          <w:szCs w:val="24"/>
        </w:rPr>
        <w:t>219</w:t>
      </w:r>
      <w:r w:rsidR="00E777F1">
        <w:rPr>
          <w:rFonts w:ascii="Times New Roman" w:hAnsi="Times New Roman" w:cs="Times New Roman"/>
          <w:sz w:val="24"/>
          <w:szCs w:val="24"/>
        </w:rPr>
        <w:t> 267 599,6</w:t>
      </w:r>
      <w:r w:rsidRPr="00530F9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25E8D" w:rsidRPr="00530F97" w:rsidRDefault="002741E2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97">
        <w:rPr>
          <w:rFonts w:ascii="Times New Roman" w:hAnsi="Times New Roman" w:cs="Times New Roman"/>
          <w:sz w:val="24"/>
          <w:szCs w:val="24"/>
        </w:rPr>
        <w:t>- на 2022</w:t>
      </w:r>
      <w:r w:rsidR="00A25E8D" w:rsidRPr="00530F97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30F97" w:rsidRPr="00530F97">
        <w:rPr>
          <w:rFonts w:ascii="Times New Roman" w:hAnsi="Times New Roman" w:cs="Times New Roman"/>
          <w:sz w:val="24"/>
          <w:szCs w:val="24"/>
        </w:rPr>
        <w:t>220</w:t>
      </w:r>
      <w:r w:rsidR="00E92815">
        <w:rPr>
          <w:rFonts w:ascii="Times New Roman" w:hAnsi="Times New Roman" w:cs="Times New Roman"/>
          <w:sz w:val="24"/>
          <w:szCs w:val="24"/>
        </w:rPr>
        <w:t> 510 209,1</w:t>
      </w:r>
      <w:r w:rsidR="00A25E8D" w:rsidRPr="00530F97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25E8D" w:rsidRPr="00530F97" w:rsidRDefault="002741E2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97">
        <w:rPr>
          <w:rFonts w:ascii="Times New Roman" w:hAnsi="Times New Roman" w:cs="Times New Roman"/>
          <w:sz w:val="24"/>
          <w:szCs w:val="24"/>
        </w:rPr>
        <w:t>- на 2023</w:t>
      </w:r>
      <w:r w:rsidR="00BD59ED" w:rsidRPr="00530F97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92815">
        <w:rPr>
          <w:rFonts w:ascii="Times New Roman" w:hAnsi="Times New Roman" w:cs="Times New Roman"/>
          <w:sz w:val="24"/>
          <w:szCs w:val="24"/>
        </w:rPr>
        <w:t>225 505 125,8</w:t>
      </w:r>
      <w:r w:rsidR="003849D7" w:rsidRPr="00530F97">
        <w:rPr>
          <w:rFonts w:ascii="Times New Roman" w:hAnsi="Times New Roman" w:cs="Times New Roman"/>
          <w:sz w:val="24"/>
          <w:szCs w:val="24"/>
        </w:rPr>
        <w:t xml:space="preserve"> </w:t>
      </w:r>
      <w:r w:rsidR="00A25E8D" w:rsidRPr="00530F97">
        <w:rPr>
          <w:rFonts w:ascii="Times New Roman" w:hAnsi="Times New Roman" w:cs="Times New Roman"/>
          <w:sz w:val="24"/>
          <w:szCs w:val="24"/>
        </w:rPr>
        <w:t>тыс. рублей.</w:t>
      </w:r>
    </w:p>
    <w:p w:rsidR="006C099C" w:rsidRDefault="00402FA2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97">
        <w:rPr>
          <w:rFonts w:ascii="Times New Roman" w:hAnsi="Times New Roman" w:cs="Times New Roman"/>
          <w:sz w:val="24"/>
          <w:szCs w:val="24"/>
        </w:rPr>
        <w:t>Прогнозируемые на 202</w:t>
      </w:r>
      <w:r w:rsidR="00C74F14" w:rsidRPr="00530F97">
        <w:rPr>
          <w:rFonts w:ascii="Times New Roman" w:hAnsi="Times New Roman" w:cs="Times New Roman"/>
          <w:sz w:val="24"/>
          <w:szCs w:val="24"/>
        </w:rPr>
        <w:t>1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 доходы бюджета</w:t>
      </w:r>
      <w:r w:rsidR="001A5CEA" w:rsidRPr="00530F97">
        <w:rPr>
          <w:rFonts w:ascii="Times New Roman" w:hAnsi="Times New Roman" w:cs="Times New Roman"/>
          <w:sz w:val="24"/>
          <w:szCs w:val="24"/>
        </w:rPr>
        <w:t xml:space="preserve"> автономного округа меньше </w:t>
      </w:r>
      <w:r w:rsidRPr="00530F97">
        <w:rPr>
          <w:rFonts w:ascii="Times New Roman" w:hAnsi="Times New Roman" w:cs="Times New Roman"/>
          <w:sz w:val="24"/>
          <w:szCs w:val="24"/>
        </w:rPr>
        <w:t>уточненн</w:t>
      </w:r>
      <w:r w:rsidR="00075236" w:rsidRPr="00530F97">
        <w:rPr>
          <w:rFonts w:ascii="Times New Roman" w:hAnsi="Times New Roman" w:cs="Times New Roman"/>
          <w:sz w:val="24"/>
          <w:szCs w:val="24"/>
        </w:rPr>
        <w:t xml:space="preserve">ого плана по </w:t>
      </w:r>
      <w:r w:rsidRPr="00530F97">
        <w:rPr>
          <w:rFonts w:ascii="Times New Roman" w:hAnsi="Times New Roman" w:cs="Times New Roman"/>
          <w:sz w:val="24"/>
          <w:szCs w:val="24"/>
        </w:rPr>
        <w:t>доход</w:t>
      </w:r>
      <w:r w:rsidR="00075236" w:rsidRPr="00530F97">
        <w:rPr>
          <w:rFonts w:ascii="Times New Roman" w:hAnsi="Times New Roman" w:cs="Times New Roman"/>
          <w:sz w:val="24"/>
          <w:szCs w:val="24"/>
        </w:rPr>
        <w:t>ам</w:t>
      </w:r>
      <w:r w:rsidRPr="00530F97">
        <w:rPr>
          <w:rFonts w:ascii="Times New Roman" w:hAnsi="Times New Roman" w:cs="Times New Roman"/>
          <w:sz w:val="24"/>
          <w:szCs w:val="24"/>
        </w:rPr>
        <w:t xml:space="preserve"> на 20</w:t>
      </w:r>
      <w:r w:rsidR="00C74F14" w:rsidRPr="00530F97">
        <w:rPr>
          <w:rFonts w:ascii="Times New Roman" w:hAnsi="Times New Roman" w:cs="Times New Roman"/>
          <w:sz w:val="24"/>
          <w:szCs w:val="24"/>
        </w:rPr>
        <w:t>20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 на </w:t>
      </w:r>
      <w:r w:rsidR="00E92815">
        <w:rPr>
          <w:rFonts w:ascii="Times New Roman" w:hAnsi="Times New Roman" w:cs="Times New Roman"/>
          <w:sz w:val="24"/>
          <w:szCs w:val="24"/>
        </w:rPr>
        <w:t>3</w:t>
      </w:r>
      <w:r w:rsidR="000524CB">
        <w:rPr>
          <w:rFonts w:ascii="Times New Roman" w:hAnsi="Times New Roman" w:cs="Times New Roman"/>
          <w:sz w:val="24"/>
          <w:szCs w:val="24"/>
        </w:rPr>
        <w:t> 714 538,6</w:t>
      </w:r>
      <w:r w:rsidR="007A489F" w:rsidRPr="00530F97">
        <w:rPr>
          <w:rFonts w:ascii="Times New Roman" w:hAnsi="Times New Roman" w:cs="Times New Roman"/>
          <w:sz w:val="24"/>
          <w:szCs w:val="24"/>
        </w:rPr>
        <w:t xml:space="preserve"> тыс</w:t>
      </w:r>
      <w:r w:rsidRPr="00530F97">
        <w:rPr>
          <w:rFonts w:ascii="Times New Roman" w:hAnsi="Times New Roman" w:cs="Times New Roman"/>
          <w:sz w:val="24"/>
          <w:szCs w:val="24"/>
        </w:rPr>
        <w:t>.</w:t>
      </w:r>
      <w:r w:rsidR="007A489F" w:rsidRPr="00530F97">
        <w:rPr>
          <w:rFonts w:ascii="Times New Roman" w:hAnsi="Times New Roman" w:cs="Times New Roman"/>
          <w:sz w:val="24"/>
          <w:szCs w:val="24"/>
        </w:rPr>
        <w:t xml:space="preserve"> р</w:t>
      </w:r>
      <w:r w:rsidRPr="00530F97">
        <w:rPr>
          <w:rFonts w:ascii="Times New Roman" w:hAnsi="Times New Roman" w:cs="Times New Roman"/>
          <w:sz w:val="24"/>
          <w:szCs w:val="24"/>
        </w:rPr>
        <w:t>у</w:t>
      </w:r>
      <w:r w:rsidR="007A489F" w:rsidRPr="00530F97">
        <w:rPr>
          <w:rFonts w:ascii="Times New Roman" w:hAnsi="Times New Roman" w:cs="Times New Roman"/>
          <w:sz w:val="24"/>
          <w:szCs w:val="24"/>
        </w:rPr>
        <w:t>блей</w:t>
      </w:r>
      <w:r w:rsidR="003E12DA">
        <w:rPr>
          <w:rFonts w:ascii="Times New Roman" w:hAnsi="Times New Roman" w:cs="Times New Roman"/>
          <w:sz w:val="24"/>
          <w:szCs w:val="24"/>
        </w:rPr>
        <w:t>, или на 1,7%</w:t>
      </w:r>
      <w:r w:rsidR="007A489F" w:rsidRPr="00530F97">
        <w:rPr>
          <w:rFonts w:ascii="Times New Roman" w:hAnsi="Times New Roman" w:cs="Times New Roman"/>
          <w:sz w:val="24"/>
          <w:szCs w:val="24"/>
        </w:rPr>
        <w:t xml:space="preserve"> </w:t>
      </w:r>
      <w:r w:rsidR="00CC2550" w:rsidRPr="00530F97">
        <w:rPr>
          <w:rFonts w:ascii="Times New Roman" w:hAnsi="Times New Roman" w:cs="Times New Roman"/>
          <w:sz w:val="24"/>
          <w:szCs w:val="24"/>
        </w:rPr>
        <w:t>за счет</w:t>
      </w:r>
      <w:r w:rsidR="009F5429" w:rsidRPr="00530F97">
        <w:rPr>
          <w:rFonts w:ascii="Times New Roman" w:hAnsi="Times New Roman" w:cs="Times New Roman"/>
          <w:sz w:val="24"/>
          <w:szCs w:val="24"/>
        </w:rPr>
        <w:t xml:space="preserve"> </w:t>
      </w:r>
      <w:r w:rsidR="009063ED" w:rsidRPr="00530F97">
        <w:rPr>
          <w:rFonts w:ascii="Times New Roman" w:hAnsi="Times New Roman" w:cs="Times New Roman"/>
          <w:sz w:val="24"/>
          <w:szCs w:val="24"/>
        </w:rPr>
        <w:t>снижения</w:t>
      </w:r>
      <w:r w:rsidR="00A76643" w:rsidRPr="00530F97">
        <w:rPr>
          <w:rFonts w:ascii="Times New Roman" w:hAnsi="Times New Roman" w:cs="Times New Roman"/>
          <w:sz w:val="24"/>
          <w:szCs w:val="24"/>
        </w:rPr>
        <w:t xml:space="preserve"> безвозмездных поступлений </w:t>
      </w:r>
      <w:r w:rsidR="007169BB" w:rsidRPr="00530F97">
        <w:rPr>
          <w:rFonts w:ascii="Times New Roman" w:hAnsi="Times New Roman" w:cs="Times New Roman"/>
          <w:sz w:val="24"/>
          <w:szCs w:val="24"/>
        </w:rPr>
        <w:t>от других бюджетов бюджетной системы.</w:t>
      </w:r>
      <w:r w:rsidR="00C915A3" w:rsidRPr="00530F97">
        <w:rPr>
          <w:rFonts w:ascii="Times New Roman" w:hAnsi="Times New Roman" w:cs="Times New Roman"/>
          <w:sz w:val="24"/>
          <w:szCs w:val="24"/>
        </w:rPr>
        <w:t xml:space="preserve"> </w:t>
      </w:r>
      <w:r w:rsidR="005C0305" w:rsidRPr="00530F97">
        <w:rPr>
          <w:rFonts w:ascii="Times New Roman" w:hAnsi="Times New Roman" w:cs="Times New Roman"/>
          <w:sz w:val="24"/>
          <w:szCs w:val="24"/>
        </w:rPr>
        <w:t>П</w:t>
      </w:r>
      <w:r w:rsidRPr="00530F97">
        <w:rPr>
          <w:rFonts w:ascii="Times New Roman" w:hAnsi="Times New Roman" w:cs="Times New Roman"/>
          <w:sz w:val="24"/>
          <w:szCs w:val="24"/>
        </w:rPr>
        <w:t>ревышение прогноза доходов на 202</w:t>
      </w:r>
      <w:r w:rsidR="003849D7" w:rsidRPr="00530F97">
        <w:rPr>
          <w:rFonts w:ascii="Times New Roman" w:hAnsi="Times New Roman" w:cs="Times New Roman"/>
          <w:sz w:val="24"/>
          <w:szCs w:val="24"/>
        </w:rPr>
        <w:t>2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 над прогнозом 202</w:t>
      </w:r>
      <w:r w:rsidR="003849D7" w:rsidRPr="00530F97">
        <w:rPr>
          <w:rFonts w:ascii="Times New Roman" w:hAnsi="Times New Roman" w:cs="Times New Roman"/>
          <w:sz w:val="24"/>
          <w:szCs w:val="24"/>
        </w:rPr>
        <w:t>1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</w:t>
      </w:r>
      <w:r w:rsidR="002E3ED7" w:rsidRPr="00530F97">
        <w:rPr>
          <w:rFonts w:ascii="Times New Roman" w:hAnsi="Times New Roman" w:cs="Times New Roman"/>
          <w:sz w:val="24"/>
          <w:szCs w:val="24"/>
        </w:rPr>
        <w:t>а</w:t>
      </w:r>
      <w:r w:rsidRPr="00530F97">
        <w:rPr>
          <w:rFonts w:ascii="Times New Roman" w:hAnsi="Times New Roman" w:cs="Times New Roman"/>
          <w:sz w:val="24"/>
          <w:szCs w:val="24"/>
        </w:rPr>
        <w:t xml:space="preserve"> составит </w:t>
      </w:r>
      <w:r w:rsidR="00530F97" w:rsidRPr="00530F97">
        <w:rPr>
          <w:rFonts w:ascii="Times New Roman" w:hAnsi="Times New Roman" w:cs="Times New Roman"/>
          <w:sz w:val="24"/>
          <w:szCs w:val="24"/>
        </w:rPr>
        <w:t>100,</w:t>
      </w:r>
      <w:r w:rsidR="00E92815">
        <w:rPr>
          <w:rFonts w:ascii="Times New Roman" w:hAnsi="Times New Roman" w:cs="Times New Roman"/>
          <w:sz w:val="24"/>
          <w:szCs w:val="24"/>
        </w:rPr>
        <w:t>6</w:t>
      </w:r>
      <w:r w:rsidR="00F35B84" w:rsidRPr="00530F97">
        <w:rPr>
          <w:rFonts w:ascii="Times New Roman" w:hAnsi="Times New Roman" w:cs="Times New Roman"/>
          <w:sz w:val="24"/>
          <w:szCs w:val="24"/>
        </w:rPr>
        <w:t xml:space="preserve">%, или </w:t>
      </w:r>
      <w:r w:rsidR="00A24E6F">
        <w:rPr>
          <w:rFonts w:ascii="Times New Roman" w:hAnsi="Times New Roman" w:cs="Times New Roman"/>
          <w:sz w:val="24"/>
          <w:szCs w:val="24"/>
        </w:rPr>
        <w:t>1</w:t>
      </w:r>
      <w:r w:rsidR="000524CB">
        <w:rPr>
          <w:rFonts w:ascii="Times New Roman" w:hAnsi="Times New Roman" w:cs="Times New Roman"/>
          <w:sz w:val="24"/>
          <w:szCs w:val="24"/>
        </w:rPr>
        <w:t> 242 609,5</w:t>
      </w:r>
      <w:r w:rsidR="00E92815">
        <w:rPr>
          <w:rFonts w:ascii="Times New Roman" w:hAnsi="Times New Roman" w:cs="Times New Roman"/>
          <w:sz w:val="24"/>
          <w:szCs w:val="24"/>
        </w:rPr>
        <w:t xml:space="preserve"> </w:t>
      </w:r>
      <w:r w:rsidR="005C0305" w:rsidRPr="00530F97">
        <w:rPr>
          <w:rFonts w:ascii="Times New Roman" w:hAnsi="Times New Roman" w:cs="Times New Roman"/>
          <w:sz w:val="24"/>
          <w:szCs w:val="24"/>
        </w:rPr>
        <w:t>тыс</w:t>
      </w:r>
      <w:r w:rsidRPr="00530F97">
        <w:rPr>
          <w:rFonts w:ascii="Times New Roman" w:hAnsi="Times New Roman" w:cs="Times New Roman"/>
          <w:sz w:val="24"/>
          <w:szCs w:val="24"/>
        </w:rPr>
        <w:t>. рублей, превышение прогноза на 202</w:t>
      </w:r>
      <w:r w:rsidR="003849D7" w:rsidRPr="00530F97">
        <w:rPr>
          <w:rFonts w:ascii="Times New Roman" w:hAnsi="Times New Roman" w:cs="Times New Roman"/>
          <w:sz w:val="24"/>
          <w:szCs w:val="24"/>
        </w:rPr>
        <w:t>3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 над прогнозом 202</w:t>
      </w:r>
      <w:r w:rsidR="003849D7" w:rsidRPr="00530F97">
        <w:rPr>
          <w:rFonts w:ascii="Times New Roman" w:hAnsi="Times New Roman" w:cs="Times New Roman"/>
          <w:sz w:val="24"/>
          <w:szCs w:val="24"/>
        </w:rPr>
        <w:t>2</w:t>
      </w:r>
      <w:r w:rsidRPr="00530F97">
        <w:rPr>
          <w:rFonts w:ascii="Times New Roman" w:hAnsi="Times New Roman" w:cs="Times New Roman"/>
          <w:sz w:val="24"/>
          <w:szCs w:val="24"/>
        </w:rPr>
        <w:t xml:space="preserve"> год</w:t>
      </w:r>
      <w:r w:rsidR="002E3ED7" w:rsidRPr="00530F97">
        <w:rPr>
          <w:rFonts w:ascii="Times New Roman" w:hAnsi="Times New Roman" w:cs="Times New Roman"/>
          <w:sz w:val="24"/>
          <w:szCs w:val="24"/>
        </w:rPr>
        <w:t>а</w:t>
      </w:r>
      <w:r w:rsidRPr="00530F97">
        <w:rPr>
          <w:rFonts w:ascii="Times New Roman" w:hAnsi="Times New Roman" w:cs="Times New Roman"/>
          <w:sz w:val="24"/>
          <w:szCs w:val="24"/>
        </w:rPr>
        <w:t xml:space="preserve"> – </w:t>
      </w:r>
      <w:r w:rsidR="00F35B84" w:rsidRPr="00530F97">
        <w:rPr>
          <w:rFonts w:ascii="Times New Roman" w:hAnsi="Times New Roman" w:cs="Times New Roman"/>
          <w:sz w:val="24"/>
          <w:szCs w:val="24"/>
        </w:rPr>
        <w:t>102,</w:t>
      </w:r>
      <w:r w:rsidR="00530F97" w:rsidRPr="00530F97">
        <w:rPr>
          <w:rFonts w:ascii="Times New Roman" w:hAnsi="Times New Roman" w:cs="Times New Roman"/>
          <w:sz w:val="24"/>
          <w:szCs w:val="24"/>
        </w:rPr>
        <w:t>3</w:t>
      </w:r>
      <w:r w:rsidR="00F35B84" w:rsidRPr="00530F97">
        <w:rPr>
          <w:rFonts w:ascii="Times New Roman" w:hAnsi="Times New Roman" w:cs="Times New Roman"/>
          <w:sz w:val="24"/>
          <w:szCs w:val="24"/>
        </w:rPr>
        <w:t xml:space="preserve">%, или </w:t>
      </w:r>
      <w:r w:rsidR="00E92815">
        <w:rPr>
          <w:rFonts w:ascii="Times New Roman" w:hAnsi="Times New Roman" w:cs="Times New Roman"/>
          <w:sz w:val="24"/>
          <w:szCs w:val="24"/>
        </w:rPr>
        <w:t>4 994 916,7</w:t>
      </w:r>
      <w:r w:rsidR="00D91196" w:rsidRPr="00530F97">
        <w:rPr>
          <w:rFonts w:ascii="Times New Roman" w:hAnsi="Times New Roman" w:cs="Times New Roman"/>
          <w:sz w:val="24"/>
          <w:szCs w:val="24"/>
        </w:rPr>
        <w:t xml:space="preserve"> тыс</w:t>
      </w:r>
      <w:r w:rsidRPr="00530F97">
        <w:rPr>
          <w:rFonts w:ascii="Times New Roman" w:hAnsi="Times New Roman" w:cs="Times New Roman"/>
          <w:sz w:val="24"/>
          <w:szCs w:val="24"/>
        </w:rPr>
        <w:t>. рублей</w:t>
      </w:r>
      <w:r w:rsidR="00D91196" w:rsidRPr="00530F97">
        <w:rPr>
          <w:rFonts w:ascii="Times New Roman" w:hAnsi="Times New Roman" w:cs="Times New Roman"/>
          <w:sz w:val="24"/>
          <w:szCs w:val="24"/>
        </w:rPr>
        <w:t>.</w:t>
      </w:r>
      <w:r w:rsidR="0013100B" w:rsidRPr="00530F97">
        <w:rPr>
          <w:rFonts w:ascii="Times New Roman" w:hAnsi="Times New Roman" w:cs="Times New Roman"/>
          <w:sz w:val="24"/>
          <w:szCs w:val="24"/>
        </w:rPr>
        <w:t xml:space="preserve"> Положительная динамика поступлений ожидается по налогу на доходы физических лиц, </w:t>
      </w:r>
      <w:r w:rsidR="003849D7" w:rsidRPr="00530F97">
        <w:rPr>
          <w:rFonts w:ascii="Times New Roman" w:hAnsi="Times New Roman" w:cs="Times New Roman"/>
          <w:sz w:val="24"/>
          <w:szCs w:val="24"/>
        </w:rPr>
        <w:t xml:space="preserve">налогу на </w:t>
      </w:r>
      <w:r w:rsidR="0013100B" w:rsidRPr="00530F97">
        <w:rPr>
          <w:rFonts w:ascii="Times New Roman" w:hAnsi="Times New Roman" w:cs="Times New Roman"/>
          <w:sz w:val="24"/>
          <w:szCs w:val="24"/>
        </w:rPr>
        <w:t xml:space="preserve">имущество организаций и </w:t>
      </w:r>
      <w:r w:rsidR="003849D7" w:rsidRPr="00530F97">
        <w:rPr>
          <w:rFonts w:ascii="Times New Roman" w:hAnsi="Times New Roman" w:cs="Times New Roman"/>
          <w:sz w:val="24"/>
          <w:szCs w:val="24"/>
        </w:rPr>
        <w:t>транспортному налогу</w:t>
      </w:r>
      <w:r w:rsidR="0013100B" w:rsidRPr="00530F97">
        <w:rPr>
          <w:rFonts w:ascii="Times New Roman" w:hAnsi="Times New Roman" w:cs="Times New Roman"/>
          <w:sz w:val="24"/>
          <w:szCs w:val="24"/>
        </w:rPr>
        <w:t>.</w:t>
      </w:r>
      <w:r w:rsidR="00300DA2" w:rsidRPr="00530F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E8D" w:rsidRDefault="00827EF5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lastRenderedPageBreak/>
        <w:t>Состав</w:t>
      </w:r>
      <w:r w:rsidR="00190198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CB2432" w:rsidRPr="00C86801">
        <w:rPr>
          <w:rFonts w:ascii="Times New Roman" w:hAnsi="Times New Roman" w:cs="Times New Roman"/>
          <w:sz w:val="24"/>
          <w:szCs w:val="24"/>
        </w:rPr>
        <w:t xml:space="preserve">и структура </w:t>
      </w:r>
      <w:r w:rsidR="00190198" w:rsidRPr="00C86801">
        <w:rPr>
          <w:rFonts w:ascii="Times New Roman" w:hAnsi="Times New Roman" w:cs="Times New Roman"/>
          <w:sz w:val="24"/>
          <w:szCs w:val="24"/>
        </w:rPr>
        <w:t>доходов бюджета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</w:t>
      </w:r>
      <w:r w:rsidR="00190198" w:rsidRPr="00C86801">
        <w:rPr>
          <w:rFonts w:ascii="Times New Roman" w:hAnsi="Times New Roman" w:cs="Times New Roman"/>
          <w:sz w:val="24"/>
          <w:szCs w:val="24"/>
        </w:rPr>
        <w:t xml:space="preserve"> Югры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9E7DF5" w:rsidRPr="00C86801">
        <w:rPr>
          <w:rFonts w:ascii="Times New Roman" w:hAnsi="Times New Roman" w:cs="Times New Roman"/>
          <w:sz w:val="24"/>
          <w:szCs w:val="24"/>
        </w:rPr>
        <w:t>представлен</w:t>
      </w:r>
      <w:r w:rsidR="008A2DA2">
        <w:rPr>
          <w:rFonts w:ascii="Times New Roman" w:hAnsi="Times New Roman" w:cs="Times New Roman"/>
          <w:sz w:val="24"/>
          <w:szCs w:val="24"/>
        </w:rPr>
        <w:t>ы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BD62FC">
        <w:rPr>
          <w:rFonts w:ascii="Times New Roman" w:hAnsi="Times New Roman" w:cs="Times New Roman"/>
          <w:sz w:val="24"/>
          <w:szCs w:val="24"/>
        </w:rPr>
        <w:t>в таблице</w:t>
      </w:r>
      <w:r w:rsidR="00C1095E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2C6CB9">
        <w:rPr>
          <w:rFonts w:ascii="Times New Roman" w:hAnsi="Times New Roman" w:cs="Times New Roman"/>
          <w:sz w:val="24"/>
          <w:szCs w:val="24"/>
        </w:rPr>
        <w:t>3</w:t>
      </w:r>
      <w:r w:rsidR="00A25E8D" w:rsidRPr="00C86801">
        <w:rPr>
          <w:rFonts w:ascii="Times New Roman" w:hAnsi="Times New Roman" w:cs="Times New Roman"/>
          <w:sz w:val="24"/>
          <w:szCs w:val="24"/>
        </w:rPr>
        <w:t>.</w:t>
      </w:r>
    </w:p>
    <w:p w:rsidR="00EA3B87" w:rsidRDefault="00D70CFB" w:rsidP="00BD62FC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C6CB9">
        <w:rPr>
          <w:rFonts w:ascii="Times New Roman" w:hAnsi="Times New Roman" w:cs="Times New Roman"/>
          <w:sz w:val="24"/>
          <w:szCs w:val="24"/>
        </w:rPr>
        <w:t>3</w:t>
      </w:r>
    </w:p>
    <w:p w:rsidR="00CB4FB1" w:rsidRPr="008A7DD7" w:rsidRDefault="00CB4FB1" w:rsidP="00CB4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структура доходов бюджета </w:t>
      </w:r>
    </w:p>
    <w:p w:rsidR="00CB4FB1" w:rsidRPr="008A7DD7" w:rsidRDefault="00CB4FB1" w:rsidP="00CB4F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</w:p>
    <w:p w:rsidR="00CB4FB1" w:rsidRPr="00CB4FB1" w:rsidRDefault="000D01BE" w:rsidP="00CB4FB1">
      <w:pPr>
        <w:spacing w:after="0" w:line="360" w:lineRule="auto"/>
        <w:ind w:firstLine="56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0D01BE">
        <w:rPr>
          <w:rFonts w:ascii="Times New Roman" w:hAnsi="Times New Roman" w:cs="Times New Roman"/>
          <w:sz w:val="24"/>
          <w:szCs w:val="24"/>
        </w:rPr>
        <w:t xml:space="preserve">в 2019 году и </w:t>
      </w:r>
      <w:r w:rsidR="00CB4FB1" w:rsidRPr="000D01BE">
        <w:rPr>
          <w:rFonts w:ascii="Times New Roman" w:hAnsi="Times New Roman" w:cs="Times New Roman"/>
          <w:sz w:val="24"/>
          <w:szCs w:val="24"/>
        </w:rPr>
        <w:t>на 202</w:t>
      </w:r>
      <w:r w:rsidRPr="000D01BE">
        <w:rPr>
          <w:rFonts w:ascii="Times New Roman" w:hAnsi="Times New Roman" w:cs="Times New Roman"/>
          <w:sz w:val="24"/>
          <w:szCs w:val="24"/>
        </w:rPr>
        <w:t>0</w:t>
      </w:r>
      <w:r w:rsidR="00CB4FB1" w:rsidRPr="000D01BE">
        <w:rPr>
          <w:rFonts w:ascii="Times New Roman" w:hAnsi="Times New Roman" w:cs="Times New Roman"/>
          <w:sz w:val="24"/>
          <w:szCs w:val="24"/>
        </w:rPr>
        <w:t>-2023 годы</w:t>
      </w:r>
    </w:p>
    <w:tbl>
      <w:tblPr>
        <w:tblStyle w:val="a6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384"/>
        <w:gridCol w:w="1168"/>
        <w:gridCol w:w="709"/>
        <w:gridCol w:w="1172"/>
        <w:gridCol w:w="670"/>
        <w:gridCol w:w="1176"/>
        <w:gridCol w:w="667"/>
        <w:gridCol w:w="1177"/>
        <w:gridCol w:w="666"/>
        <w:gridCol w:w="1168"/>
        <w:gridCol w:w="675"/>
      </w:tblGrid>
      <w:tr w:rsidR="00164342" w:rsidRPr="00BD62FC" w:rsidTr="00E843A9">
        <w:tc>
          <w:tcPr>
            <w:tcW w:w="1384" w:type="dxa"/>
            <w:vMerge w:val="restart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Вид дохода</w:t>
            </w:r>
          </w:p>
        </w:tc>
        <w:tc>
          <w:tcPr>
            <w:tcW w:w="1877" w:type="dxa"/>
            <w:gridSpan w:val="2"/>
            <w:vMerge w:val="restart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2019 год (отчет)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2020 год (Закон №24-оз)</w:t>
            </w:r>
          </w:p>
        </w:tc>
        <w:tc>
          <w:tcPr>
            <w:tcW w:w="5529" w:type="dxa"/>
            <w:gridSpan w:val="6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</w:tr>
      <w:tr w:rsidR="00882A68" w:rsidRPr="00BD62FC" w:rsidTr="00E843A9">
        <w:tc>
          <w:tcPr>
            <w:tcW w:w="1384" w:type="dxa"/>
            <w:vMerge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2"/>
            <w:vMerge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843" w:type="dxa"/>
            <w:gridSpan w:val="2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843" w:type="dxa"/>
            <w:gridSpan w:val="2"/>
            <w:vAlign w:val="center"/>
          </w:tcPr>
          <w:p w:rsidR="00BD62FC" w:rsidRPr="0086498A" w:rsidRDefault="00BD62FC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164342" w:rsidRPr="00BD62FC" w:rsidTr="00E843A9">
        <w:tc>
          <w:tcPr>
            <w:tcW w:w="1384" w:type="dxa"/>
            <w:vMerge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Сумма, тыс.</w:t>
            </w:r>
            <w:r w:rsid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9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Уд.</w:t>
            </w:r>
            <w:r w:rsidR="00164342"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вес, %</w:t>
            </w:r>
          </w:p>
        </w:tc>
        <w:tc>
          <w:tcPr>
            <w:tcW w:w="1172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Сумма, тыс.</w:t>
            </w:r>
            <w:r w:rsid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70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Уд.</w:t>
            </w:r>
            <w:r w:rsidR="00164342"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вес, %</w:t>
            </w:r>
          </w:p>
        </w:tc>
        <w:tc>
          <w:tcPr>
            <w:tcW w:w="1176" w:type="dxa"/>
            <w:vAlign w:val="center"/>
          </w:tcPr>
          <w:p w:rsid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67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Уд.</w:t>
            </w:r>
            <w:r w:rsidR="00164342"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вес, %</w:t>
            </w:r>
          </w:p>
        </w:tc>
        <w:tc>
          <w:tcPr>
            <w:tcW w:w="1177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Сумма, тыс.</w:t>
            </w:r>
            <w:r w:rsid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66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Уд.</w:t>
            </w:r>
            <w:r w:rsidR="00164342"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вес, %</w:t>
            </w:r>
          </w:p>
        </w:tc>
        <w:tc>
          <w:tcPr>
            <w:tcW w:w="1168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Сумма, тыс.</w:t>
            </w:r>
            <w:r w:rsid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75" w:type="dxa"/>
            <w:vAlign w:val="center"/>
          </w:tcPr>
          <w:p w:rsidR="006F7A5A" w:rsidRPr="0086498A" w:rsidRDefault="006F7A5A" w:rsidP="008649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Уд.</w:t>
            </w:r>
            <w:r w:rsidR="00164342"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вес, %</w:t>
            </w:r>
          </w:p>
        </w:tc>
      </w:tr>
      <w:tr w:rsidR="00164342" w:rsidRPr="00BD62FC" w:rsidTr="00E843A9">
        <w:tc>
          <w:tcPr>
            <w:tcW w:w="1384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68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72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70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76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7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66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68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75" w:type="dxa"/>
            <w:vAlign w:val="center"/>
          </w:tcPr>
          <w:p w:rsidR="006F7A5A" w:rsidRPr="0086498A" w:rsidRDefault="00882A68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164342" w:rsidRPr="00BD62FC" w:rsidTr="00E843A9">
        <w:tc>
          <w:tcPr>
            <w:tcW w:w="1384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Налоговые доходы</w:t>
            </w:r>
          </w:p>
        </w:tc>
        <w:tc>
          <w:tcPr>
            <w:tcW w:w="1168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220 280 643,2</w:t>
            </w:r>
          </w:p>
        </w:tc>
        <w:tc>
          <w:tcPr>
            <w:tcW w:w="709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1172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200 081 602,3</w:t>
            </w:r>
          </w:p>
        </w:tc>
        <w:tc>
          <w:tcPr>
            <w:tcW w:w="670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89,7</w:t>
            </w:r>
          </w:p>
        </w:tc>
        <w:tc>
          <w:tcPr>
            <w:tcW w:w="1176" w:type="dxa"/>
            <w:vAlign w:val="center"/>
          </w:tcPr>
          <w:p w:rsidR="006F7A5A" w:rsidRPr="0086498A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206 043 594,4</w:t>
            </w:r>
          </w:p>
        </w:tc>
        <w:tc>
          <w:tcPr>
            <w:tcW w:w="667" w:type="dxa"/>
            <w:vAlign w:val="center"/>
          </w:tcPr>
          <w:p w:rsidR="006F7A5A" w:rsidRPr="00200864" w:rsidRDefault="00E843A9" w:rsidP="009842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94,</w:t>
            </w:r>
            <w:r w:rsidR="009842F0" w:rsidRPr="002008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77" w:type="dxa"/>
            <w:vAlign w:val="center"/>
          </w:tcPr>
          <w:p w:rsidR="006F7A5A" w:rsidRPr="00200864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207 785 559,1</w:t>
            </w:r>
          </w:p>
        </w:tc>
        <w:tc>
          <w:tcPr>
            <w:tcW w:w="666" w:type="dxa"/>
            <w:vAlign w:val="center"/>
          </w:tcPr>
          <w:p w:rsidR="006F7A5A" w:rsidRPr="00200864" w:rsidRDefault="00CE3332" w:rsidP="009842F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94,</w:t>
            </w:r>
            <w:r w:rsidR="009842F0" w:rsidRPr="0020086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68" w:type="dxa"/>
            <w:vAlign w:val="center"/>
          </w:tcPr>
          <w:p w:rsidR="006F7A5A" w:rsidRPr="00200864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212 454 240,7</w:t>
            </w:r>
          </w:p>
        </w:tc>
        <w:tc>
          <w:tcPr>
            <w:tcW w:w="675" w:type="dxa"/>
            <w:vAlign w:val="center"/>
          </w:tcPr>
          <w:p w:rsidR="006F7A5A" w:rsidRPr="00200864" w:rsidRDefault="00200864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</w:tr>
      <w:tr w:rsidR="00164342" w:rsidRPr="00BD62FC" w:rsidTr="00E843A9">
        <w:tc>
          <w:tcPr>
            <w:tcW w:w="1384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Неналоговые доходы</w:t>
            </w:r>
          </w:p>
        </w:tc>
        <w:tc>
          <w:tcPr>
            <w:tcW w:w="1168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8 898 044,4</w:t>
            </w:r>
          </w:p>
        </w:tc>
        <w:tc>
          <w:tcPr>
            <w:tcW w:w="709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172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2 903 777,4</w:t>
            </w:r>
          </w:p>
        </w:tc>
        <w:tc>
          <w:tcPr>
            <w:tcW w:w="670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176" w:type="dxa"/>
            <w:vAlign w:val="center"/>
          </w:tcPr>
          <w:p w:rsidR="006F7A5A" w:rsidRPr="0086498A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3 106</w:t>
            </w:r>
            <w:r w:rsidR="0086498A">
              <w:rPr>
                <w:rFonts w:ascii="Times New Roman" w:hAnsi="Times New Roman" w:cs="Times New Roman"/>
                <w:sz w:val="16"/>
                <w:szCs w:val="16"/>
              </w:rPr>
              <w:t> 487,0</w:t>
            </w:r>
          </w:p>
        </w:tc>
        <w:tc>
          <w:tcPr>
            <w:tcW w:w="667" w:type="dxa"/>
            <w:vAlign w:val="center"/>
          </w:tcPr>
          <w:p w:rsidR="006F7A5A" w:rsidRPr="00200864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177" w:type="dxa"/>
            <w:vAlign w:val="center"/>
          </w:tcPr>
          <w:p w:rsidR="006F7A5A" w:rsidRPr="00200864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3 074 493,2</w:t>
            </w:r>
          </w:p>
        </w:tc>
        <w:tc>
          <w:tcPr>
            <w:tcW w:w="666" w:type="dxa"/>
            <w:vAlign w:val="center"/>
          </w:tcPr>
          <w:p w:rsidR="006F7A5A" w:rsidRPr="00200864" w:rsidRDefault="007F1EAD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1168" w:type="dxa"/>
            <w:vAlign w:val="center"/>
          </w:tcPr>
          <w:p w:rsidR="006F7A5A" w:rsidRPr="00200864" w:rsidRDefault="00E843A9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3 097 787,8</w:t>
            </w:r>
          </w:p>
        </w:tc>
        <w:tc>
          <w:tcPr>
            <w:tcW w:w="675" w:type="dxa"/>
            <w:vAlign w:val="center"/>
          </w:tcPr>
          <w:p w:rsidR="006F7A5A" w:rsidRPr="00200864" w:rsidRDefault="007F1EAD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1,4</w:t>
            </w:r>
          </w:p>
        </w:tc>
      </w:tr>
      <w:tr w:rsidR="00164342" w:rsidRPr="00BD62FC" w:rsidTr="00E843A9">
        <w:tc>
          <w:tcPr>
            <w:tcW w:w="1384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68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30 580 191,1</w:t>
            </w:r>
          </w:p>
        </w:tc>
        <w:tc>
          <w:tcPr>
            <w:tcW w:w="709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11,8</w:t>
            </w:r>
          </w:p>
        </w:tc>
        <w:tc>
          <w:tcPr>
            <w:tcW w:w="1172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19 996 758,5</w:t>
            </w:r>
          </w:p>
        </w:tc>
        <w:tc>
          <w:tcPr>
            <w:tcW w:w="670" w:type="dxa"/>
            <w:vAlign w:val="center"/>
          </w:tcPr>
          <w:p w:rsidR="006F7A5A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1176" w:type="dxa"/>
            <w:vAlign w:val="center"/>
          </w:tcPr>
          <w:p w:rsidR="006F7A5A" w:rsidRPr="0086498A" w:rsidRDefault="000524CB" w:rsidP="00A24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10 117 518,2</w:t>
            </w:r>
          </w:p>
        </w:tc>
        <w:tc>
          <w:tcPr>
            <w:tcW w:w="667" w:type="dxa"/>
            <w:vAlign w:val="center"/>
          </w:tcPr>
          <w:p w:rsidR="006F7A5A" w:rsidRPr="00200864" w:rsidRDefault="009842F0" w:rsidP="00E928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4,</w:t>
            </w:r>
            <w:r w:rsidR="00E9281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77" w:type="dxa"/>
            <w:vAlign w:val="center"/>
          </w:tcPr>
          <w:p w:rsidR="006F7A5A" w:rsidRPr="00200864" w:rsidRDefault="00E92815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9 650 156,8</w:t>
            </w:r>
          </w:p>
        </w:tc>
        <w:tc>
          <w:tcPr>
            <w:tcW w:w="666" w:type="dxa"/>
            <w:vAlign w:val="center"/>
          </w:tcPr>
          <w:p w:rsidR="006F7A5A" w:rsidRPr="00200864" w:rsidRDefault="009842F0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168" w:type="dxa"/>
            <w:vAlign w:val="center"/>
          </w:tcPr>
          <w:p w:rsidR="00E92815" w:rsidRPr="00200864" w:rsidRDefault="00E92815" w:rsidP="00E928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9 953 097,3</w:t>
            </w:r>
          </w:p>
        </w:tc>
        <w:tc>
          <w:tcPr>
            <w:tcW w:w="675" w:type="dxa"/>
            <w:vAlign w:val="center"/>
          </w:tcPr>
          <w:p w:rsidR="006F7A5A" w:rsidRPr="00200864" w:rsidRDefault="00200864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0864">
              <w:rPr>
                <w:rFonts w:ascii="Times New Roman" w:hAnsi="Times New Roman" w:cs="Times New Roman"/>
                <w:sz w:val="16"/>
                <w:szCs w:val="16"/>
              </w:rPr>
              <w:t>4,4</w:t>
            </w:r>
          </w:p>
        </w:tc>
      </w:tr>
      <w:tr w:rsidR="00164342" w:rsidRPr="00BD62FC" w:rsidTr="00E843A9">
        <w:tc>
          <w:tcPr>
            <w:tcW w:w="1384" w:type="dxa"/>
            <w:vAlign w:val="center"/>
          </w:tcPr>
          <w:p w:rsidR="006F7A5A" w:rsidRPr="0086498A" w:rsidRDefault="006F7A5A" w:rsidP="00BD62F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b/>
                <w:sz w:val="18"/>
                <w:szCs w:val="18"/>
              </w:rPr>
              <w:t>Доходы, всего</w:t>
            </w:r>
          </w:p>
        </w:tc>
        <w:tc>
          <w:tcPr>
            <w:tcW w:w="1168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259 758 878,7</w:t>
            </w:r>
          </w:p>
        </w:tc>
        <w:tc>
          <w:tcPr>
            <w:tcW w:w="709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72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222 982 138,2</w:t>
            </w:r>
          </w:p>
        </w:tc>
        <w:tc>
          <w:tcPr>
            <w:tcW w:w="670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76" w:type="dxa"/>
            <w:vAlign w:val="center"/>
          </w:tcPr>
          <w:p w:rsidR="006F7A5A" w:rsidRPr="0086498A" w:rsidRDefault="000524CB" w:rsidP="00A24E6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219 267 599,6</w:t>
            </w:r>
          </w:p>
        </w:tc>
        <w:tc>
          <w:tcPr>
            <w:tcW w:w="667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77" w:type="dxa"/>
            <w:vAlign w:val="center"/>
          </w:tcPr>
          <w:p w:rsidR="006F7A5A" w:rsidRPr="0086498A" w:rsidRDefault="00E92815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220 510 209,1</w:t>
            </w:r>
          </w:p>
        </w:tc>
        <w:tc>
          <w:tcPr>
            <w:tcW w:w="666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  <w:tc>
          <w:tcPr>
            <w:tcW w:w="1168" w:type="dxa"/>
            <w:vAlign w:val="center"/>
          </w:tcPr>
          <w:p w:rsidR="006F7A5A" w:rsidRPr="0086498A" w:rsidRDefault="00E92815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225 505 125,8</w:t>
            </w:r>
          </w:p>
        </w:tc>
        <w:tc>
          <w:tcPr>
            <w:tcW w:w="675" w:type="dxa"/>
            <w:vAlign w:val="center"/>
          </w:tcPr>
          <w:p w:rsidR="006F7A5A" w:rsidRPr="0086498A" w:rsidRDefault="0086498A" w:rsidP="00BD62F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0178FC" w:rsidRPr="00BD62FC" w:rsidTr="00E843A9">
        <w:tc>
          <w:tcPr>
            <w:tcW w:w="1384" w:type="dxa"/>
          </w:tcPr>
          <w:p w:rsidR="000178FC" w:rsidRPr="0086498A" w:rsidRDefault="000178FC" w:rsidP="006F7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Прирост</w:t>
            </w:r>
            <w:r w:rsidR="00CE2B52">
              <w:rPr>
                <w:rFonts w:ascii="Times New Roman" w:hAnsi="Times New Roman" w:cs="Times New Roman"/>
                <w:sz w:val="18"/>
                <w:szCs w:val="18"/>
              </w:rPr>
              <w:t>/снижение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доходов к предыдущему году (тыс. рублей)</w:t>
            </w:r>
          </w:p>
        </w:tc>
        <w:tc>
          <w:tcPr>
            <w:tcW w:w="1168" w:type="dxa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gridSpan w:val="2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-36 776 740,5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0524CB" w:rsidP="00A24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- 3 714 538,6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0524CB" w:rsidP="00A24E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1 242 609,5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E92815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4 994 916,7</w:t>
            </w:r>
          </w:p>
        </w:tc>
      </w:tr>
      <w:tr w:rsidR="000178FC" w:rsidRPr="00BD62FC" w:rsidTr="00E843A9">
        <w:tc>
          <w:tcPr>
            <w:tcW w:w="1384" w:type="dxa"/>
          </w:tcPr>
          <w:p w:rsidR="000178FC" w:rsidRPr="0086498A" w:rsidRDefault="000178FC" w:rsidP="006F7A5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>Прирост</w:t>
            </w:r>
            <w:r w:rsidR="00B204DF">
              <w:rPr>
                <w:rFonts w:ascii="Times New Roman" w:hAnsi="Times New Roman" w:cs="Times New Roman"/>
                <w:sz w:val="18"/>
                <w:szCs w:val="18"/>
              </w:rPr>
              <w:t>/снижение</w:t>
            </w:r>
            <w:r w:rsidRPr="0086498A">
              <w:rPr>
                <w:rFonts w:ascii="Times New Roman" w:hAnsi="Times New Roman" w:cs="Times New Roman"/>
                <w:sz w:val="18"/>
                <w:szCs w:val="18"/>
              </w:rPr>
              <w:t xml:space="preserve"> доходов к предыдущему году (%)</w:t>
            </w:r>
          </w:p>
        </w:tc>
        <w:tc>
          <w:tcPr>
            <w:tcW w:w="1168" w:type="dxa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842" w:type="dxa"/>
            <w:gridSpan w:val="2"/>
            <w:vAlign w:val="center"/>
          </w:tcPr>
          <w:p w:rsidR="000178FC" w:rsidRPr="0086498A" w:rsidRDefault="000178FC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E92815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98,3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E92815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  <w:tc>
          <w:tcPr>
            <w:tcW w:w="1843" w:type="dxa"/>
            <w:gridSpan w:val="2"/>
            <w:vAlign w:val="center"/>
          </w:tcPr>
          <w:p w:rsidR="000178FC" w:rsidRPr="0086498A" w:rsidRDefault="00317938" w:rsidP="00BD62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102,3</w:t>
            </w:r>
          </w:p>
        </w:tc>
      </w:tr>
    </w:tbl>
    <w:p w:rsidR="00EA3B87" w:rsidRDefault="00EA3B87" w:rsidP="00BD62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1511" w:rsidRPr="00A63660" w:rsidRDefault="004B1511" w:rsidP="009D123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660">
        <w:rPr>
          <w:rFonts w:ascii="Times New Roman" w:hAnsi="Times New Roman" w:cs="Times New Roman"/>
          <w:sz w:val="24"/>
          <w:szCs w:val="24"/>
        </w:rPr>
        <w:t>Основными</w:t>
      </w:r>
      <w:r w:rsidR="009D1236" w:rsidRPr="00A63660">
        <w:rPr>
          <w:rFonts w:ascii="Times New Roman" w:hAnsi="Times New Roman" w:cs="Times New Roman"/>
          <w:sz w:val="24"/>
          <w:szCs w:val="24"/>
        </w:rPr>
        <w:t xml:space="preserve"> в доходах бюджета </w:t>
      </w:r>
      <w:r w:rsidRPr="00A63660">
        <w:rPr>
          <w:rFonts w:ascii="Times New Roman" w:hAnsi="Times New Roman" w:cs="Times New Roman"/>
          <w:sz w:val="24"/>
          <w:szCs w:val="24"/>
        </w:rPr>
        <w:t>являются</w:t>
      </w:r>
      <w:r w:rsidR="009D1236" w:rsidRPr="00A63660">
        <w:rPr>
          <w:rFonts w:ascii="Times New Roman" w:hAnsi="Times New Roman" w:cs="Times New Roman"/>
          <w:sz w:val="24"/>
          <w:szCs w:val="24"/>
        </w:rPr>
        <w:t xml:space="preserve"> налоговые доходы</w:t>
      </w:r>
      <w:r w:rsidRPr="00A63660">
        <w:rPr>
          <w:rFonts w:ascii="Times New Roman" w:hAnsi="Times New Roman" w:cs="Times New Roman"/>
          <w:sz w:val="24"/>
          <w:szCs w:val="24"/>
        </w:rPr>
        <w:t xml:space="preserve">, доля которых увеличивается с </w:t>
      </w:r>
      <w:r w:rsidR="00482FFB" w:rsidRPr="00A63660">
        <w:rPr>
          <w:rFonts w:ascii="Times New Roman" w:hAnsi="Times New Roman" w:cs="Times New Roman"/>
          <w:sz w:val="24"/>
          <w:szCs w:val="24"/>
        </w:rPr>
        <w:t>8</w:t>
      </w:r>
      <w:r w:rsidR="00A34B75" w:rsidRPr="00A63660">
        <w:rPr>
          <w:rFonts w:ascii="Times New Roman" w:hAnsi="Times New Roman" w:cs="Times New Roman"/>
          <w:sz w:val="24"/>
          <w:szCs w:val="24"/>
        </w:rPr>
        <w:t>4</w:t>
      </w:r>
      <w:r w:rsidR="00482FFB" w:rsidRPr="00A63660">
        <w:rPr>
          <w:rFonts w:ascii="Times New Roman" w:hAnsi="Times New Roman" w:cs="Times New Roman"/>
          <w:sz w:val="24"/>
          <w:szCs w:val="24"/>
        </w:rPr>
        <w:t>,</w:t>
      </w:r>
      <w:r w:rsidR="00A34B75" w:rsidRPr="00A63660">
        <w:rPr>
          <w:rFonts w:ascii="Times New Roman" w:hAnsi="Times New Roman" w:cs="Times New Roman"/>
          <w:sz w:val="24"/>
          <w:szCs w:val="24"/>
        </w:rPr>
        <w:t>8</w:t>
      </w:r>
      <w:r w:rsidR="00F204FD" w:rsidRPr="00A63660">
        <w:rPr>
          <w:rFonts w:ascii="Times New Roman" w:hAnsi="Times New Roman" w:cs="Times New Roman"/>
          <w:sz w:val="24"/>
          <w:szCs w:val="24"/>
        </w:rPr>
        <w:t>% в 201</w:t>
      </w:r>
      <w:r w:rsidR="00170760" w:rsidRPr="00A63660">
        <w:rPr>
          <w:rFonts w:ascii="Times New Roman" w:hAnsi="Times New Roman" w:cs="Times New Roman"/>
          <w:sz w:val="24"/>
          <w:szCs w:val="24"/>
        </w:rPr>
        <w:t>9</w:t>
      </w:r>
      <w:r w:rsidR="009D1236" w:rsidRPr="00A63660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A63660" w:rsidRPr="00A63660">
        <w:rPr>
          <w:rFonts w:ascii="Times New Roman" w:hAnsi="Times New Roman" w:cs="Times New Roman"/>
          <w:sz w:val="24"/>
          <w:szCs w:val="24"/>
        </w:rPr>
        <w:t>94,</w:t>
      </w:r>
      <w:r w:rsidR="00317938">
        <w:rPr>
          <w:rFonts w:ascii="Times New Roman" w:hAnsi="Times New Roman" w:cs="Times New Roman"/>
          <w:sz w:val="24"/>
          <w:szCs w:val="24"/>
        </w:rPr>
        <w:t>2</w:t>
      </w:r>
      <w:r w:rsidR="009D1236" w:rsidRPr="00A63660">
        <w:rPr>
          <w:rFonts w:ascii="Times New Roman" w:hAnsi="Times New Roman" w:cs="Times New Roman"/>
          <w:sz w:val="24"/>
          <w:szCs w:val="24"/>
        </w:rPr>
        <w:t>% в 202</w:t>
      </w:r>
      <w:r w:rsidR="00A34B75" w:rsidRPr="00A63660">
        <w:rPr>
          <w:rFonts w:ascii="Times New Roman" w:hAnsi="Times New Roman" w:cs="Times New Roman"/>
          <w:sz w:val="24"/>
          <w:szCs w:val="24"/>
        </w:rPr>
        <w:t>3</w:t>
      </w:r>
      <w:r w:rsidR="009D1236" w:rsidRPr="00A63660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5C40CF" w:rsidRPr="006F5745" w:rsidRDefault="009D1236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3660">
        <w:rPr>
          <w:rFonts w:ascii="Times New Roman" w:hAnsi="Times New Roman" w:cs="Times New Roman"/>
          <w:sz w:val="24"/>
          <w:szCs w:val="24"/>
        </w:rPr>
        <w:t>Неналоговые доходы и безвозмездные поступления имеют небольшой удельный вес в доходах бюджета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C75220" w:rsidRPr="00A63660">
        <w:rPr>
          <w:rFonts w:ascii="Times New Roman" w:hAnsi="Times New Roman" w:cs="Times New Roman"/>
          <w:sz w:val="24"/>
          <w:szCs w:val="24"/>
        </w:rPr>
        <w:t>.</w:t>
      </w:r>
      <w:r w:rsidR="006E2D6F" w:rsidRPr="00A63660">
        <w:rPr>
          <w:rFonts w:ascii="Times New Roman" w:hAnsi="Times New Roman" w:cs="Times New Roman"/>
          <w:sz w:val="24"/>
          <w:szCs w:val="24"/>
        </w:rPr>
        <w:t xml:space="preserve"> </w:t>
      </w:r>
      <w:r w:rsidR="00AE73A0" w:rsidRPr="00A63660">
        <w:rPr>
          <w:rFonts w:ascii="Times New Roman" w:hAnsi="Times New Roman" w:cs="Times New Roman"/>
          <w:sz w:val="24"/>
          <w:szCs w:val="24"/>
        </w:rPr>
        <w:t>Д</w:t>
      </w:r>
      <w:r w:rsidR="00C75220" w:rsidRPr="00A63660">
        <w:rPr>
          <w:rFonts w:ascii="Times New Roman" w:hAnsi="Times New Roman" w:cs="Times New Roman"/>
          <w:sz w:val="24"/>
          <w:szCs w:val="24"/>
        </w:rPr>
        <w:t>ол</w:t>
      </w:r>
      <w:r w:rsidR="00AE73A0" w:rsidRPr="00A63660">
        <w:rPr>
          <w:rFonts w:ascii="Times New Roman" w:hAnsi="Times New Roman" w:cs="Times New Roman"/>
          <w:sz w:val="24"/>
          <w:szCs w:val="24"/>
        </w:rPr>
        <w:t xml:space="preserve">я 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неналоговых доходов </w:t>
      </w:r>
      <w:r w:rsidR="00AE73A0" w:rsidRPr="00A63660">
        <w:rPr>
          <w:rFonts w:ascii="Times New Roman" w:hAnsi="Times New Roman" w:cs="Times New Roman"/>
          <w:sz w:val="24"/>
          <w:szCs w:val="24"/>
        </w:rPr>
        <w:t xml:space="preserve">уменьшается 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с </w:t>
      </w:r>
      <w:r w:rsidR="00A34B75" w:rsidRPr="00A63660">
        <w:rPr>
          <w:rFonts w:ascii="Times New Roman" w:hAnsi="Times New Roman" w:cs="Times New Roman"/>
          <w:sz w:val="24"/>
          <w:szCs w:val="24"/>
        </w:rPr>
        <w:t>3,4</w:t>
      </w:r>
      <w:r w:rsidR="00CD3147" w:rsidRPr="00A63660">
        <w:rPr>
          <w:rFonts w:ascii="Times New Roman" w:hAnsi="Times New Roman" w:cs="Times New Roman"/>
          <w:sz w:val="24"/>
          <w:szCs w:val="24"/>
        </w:rPr>
        <w:t>% в 201</w:t>
      </w:r>
      <w:r w:rsidR="00170760" w:rsidRPr="00A63660">
        <w:rPr>
          <w:rFonts w:ascii="Times New Roman" w:hAnsi="Times New Roman" w:cs="Times New Roman"/>
          <w:sz w:val="24"/>
          <w:szCs w:val="24"/>
        </w:rPr>
        <w:t>9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году до 1,</w:t>
      </w:r>
      <w:r w:rsidR="00A34B75" w:rsidRPr="00A63660">
        <w:rPr>
          <w:rFonts w:ascii="Times New Roman" w:hAnsi="Times New Roman" w:cs="Times New Roman"/>
          <w:sz w:val="24"/>
          <w:szCs w:val="24"/>
        </w:rPr>
        <w:t>4</w:t>
      </w:r>
      <w:r w:rsidR="004379D8" w:rsidRPr="00A63660">
        <w:rPr>
          <w:rFonts w:ascii="Times New Roman" w:hAnsi="Times New Roman" w:cs="Times New Roman"/>
          <w:sz w:val="24"/>
          <w:szCs w:val="24"/>
        </w:rPr>
        <w:t>% в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202</w:t>
      </w:r>
      <w:r w:rsidR="00A34B75" w:rsidRPr="00A63660">
        <w:rPr>
          <w:rFonts w:ascii="Times New Roman" w:hAnsi="Times New Roman" w:cs="Times New Roman"/>
          <w:sz w:val="24"/>
          <w:szCs w:val="24"/>
        </w:rPr>
        <w:t>3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году</w:t>
      </w:r>
      <w:r w:rsidR="00BA3FC3">
        <w:rPr>
          <w:rFonts w:ascii="Times New Roman" w:hAnsi="Times New Roman" w:cs="Times New Roman"/>
          <w:sz w:val="24"/>
          <w:szCs w:val="24"/>
        </w:rPr>
        <w:t xml:space="preserve"> в</w:t>
      </w:r>
      <w:r w:rsidR="0063788D">
        <w:rPr>
          <w:rFonts w:ascii="Times New Roman" w:hAnsi="Times New Roman" w:cs="Times New Roman"/>
          <w:sz w:val="24"/>
          <w:szCs w:val="24"/>
        </w:rPr>
        <w:t xml:space="preserve"> </w:t>
      </w:r>
      <w:r w:rsidR="00BA3FC3">
        <w:rPr>
          <w:rFonts w:ascii="Times New Roman" w:hAnsi="Times New Roman" w:cs="Times New Roman"/>
          <w:sz w:val="24"/>
          <w:szCs w:val="24"/>
        </w:rPr>
        <w:t>связи с планируемым снижением доходов от размещения временно свободных средств бюджета</w:t>
      </w:r>
      <w:r w:rsidR="00CC1D0C">
        <w:rPr>
          <w:rFonts w:ascii="Times New Roman" w:hAnsi="Times New Roman" w:cs="Times New Roman"/>
          <w:sz w:val="24"/>
          <w:szCs w:val="24"/>
        </w:rPr>
        <w:t xml:space="preserve">, 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безвозмездных поступлений </w:t>
      </w:r>
      <w:r w:rsidR="00CC1D0C">
        <w:rPr>
          <w:rFonts w:ascii="Times New Roman" w:hAnsi="Times New Roman" w:cs="Times New Roman"/>
          <w:sz w:val="24"/>
          <w:szCs w:val="24"/>
        </w:rPr>
        <w:t>-</w:t>
      </w:r>
      <w:r w:rsidR="004B1511" w:rsidRPr="00A63660">
        <w:rPr>
          <w:rFonts w:ascii="Times New Roman" w:hAnsi="Times New Roman" w:cs="Times New Roman"/>
          <w:sz w:val="24"/>
          <w:szCs w:val="24"/>
        </w:rPr>
        <w:t xml:space="preserve"> с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</w:t>
      </w:r>
      <w:r w:rsidR="00482FFB" w:rsidRPr="00A63660">
        <w:rPr>
          <w:rFonts w:ascii="Times New Roman" w:hAnsi="Times New Roman" w:cs="Times New Roman"/>
          <w:sz w:val="24"/>
          <w:szCs w:val="24"/>
        </w:rPr>
        <w:t>1</w:t>
      </w:r>
      <w:r w:rsidR="00A34B75" w:rsidRPr="00A63660">
        <w:rPr>
          <w:rFonts w:ascii="Times New Roman" w:hAnsi="Times New Roman" w:cs="Times New Roman"/>
          <w:sz w:val="24"/>
          <w:szCs w:val="24"/>
        </w:rPr>
        <w:t>1</w:t>
      </w:r>
      <w:r w:rsidR="00482FFB" w:rsidRPr="00A63660">
        <w:rPr>
          <w:rFonts w:ascii="Times New Roman" w:hAnsi="Times New Roman" w:cs="Times New Roman"/>
          <w:sz w:val="24"/>
          <w:szCs w:val="24"/>
        </w:rPr>
        <w:t>,</w:t>
      </w:r>
      <w:r w:rsidR="00A34B75" w:rsidRPr="00A63660">
        <w:rPr>
          <w:rFonts w:ascii="Times New Roman" w:hAnsi="Times New Roman" w:cs="Times New Roman"/>
          <w:sz w:val="24"/>
          <w:szCs w:val="24"/>
        </w:rPr>
        <w:t>8</w:t>
      </w:r>
      <w:r w:rsidR="00CD3147" w:rsidRPr="00A63660">
        <w:rPr>
          <w:rFonts w:ascii="Times New Roman" w:hAnsi="Times New Roman" w:cs="Times New Roman"/>
          <w:sz w:val="24"/>
          <w:szCs w:val="24"/>
        </w:rPr>
        <w:t>% в 201</w:t>
      </w:r>
      <w:r w:rsidR="00A11466" w:rsidRPr="00A63660">
        <w:rPr>
          <w:rFonts w:ascii="Times New Roman" w:hAnsi="Times New Roman" w:cs="Times New Roman"/>
          <w:sz w:val="24"/>
          <w:szCs w:val="24"/>
        </w:rPr>
        <w:t>9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317938">
        <w:rPr>
          <w:rFonts w:ascii="Times New Roman" w:hAnsi="Times New Roman" w:cs="Times New Roman"/>
          <w:sz w:val="24"/>
          <w:szCs w:val="24"/>
        </w:rPr>
        <w:t>4,4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% </w:t>
      </w:r>
      <w:r w:rsidR="004379D8" w:rsidRPr="00A63660">
        <w:rPr>
          <w:rFonts w:ascii="Times New Roman" w:hAnsi="Times New Roman" w:cs="Times New Roman"/>
          <w:sz w:val="24"/>
          <w:szCs w:val="24"/>
        </w:rPr>
        <w:t>в</w:t>
      </w:r>
      <w:r w:rsidR="00CD3147" w:rsidRPr="00A63660">
        <w:rPr>
          <w:rFonts w:ascii="Times New Roman" w:hAnsi="Times New Roman" w:cs="Times New Roman"/>
          <w:sz w:val="24"/>
          <w:szCs w:val="24"/>
        </w:rPr>
        <w:t xml:space="preserve"> 202</w:t>
      </w:r>
      <w:r w:rsidR="00A63660" w:rsidRPr="00A63660">
        <w:rPr>
          <w:rFonts w:ascii="Times New Roman" w:hAnsi="Times New Roman" w:cs="Times New Roman"/>
          <w:sz w:val="24"/>
          <w:szCs w:val="24"/>
        </w:rPr>
        <w:t>3</w:t>
      </w:r>
      <w:r w:rsidR="008C02BF" w:rsidRPr="00A63660">
        <w:rPr>
          <w:rFonts w:ascii="Times New Roman" w:hAnsi="Times New Roman" w:cs="Times New Roman"/>
          <w:sz w:val="24"/>
          <w:szCs w:val="24"/>
        </w:rPr>
        <w:t xml:space="preserve"> году</w:t>
      </w:r>
      <w:r w:rsidR="004E3CFE">
        <w:rPr>
          <w:rFonts w:ascii="Times New Roman" w:hAnsi="Times New Roman" w:cs="Times New Roman"/>
          <w:sz w:val="24"/>
          <w:szCs w:val="24"/>
        </w:rPr>
        <w:t>,</w:t>
      </w:r>
      <w:r w:rsidR="008A1EC6">
        <w:rPr>
          <w:rFonts w:ascii="Times New Roman" w:hAnsi="Times New Roman" w:cs="Times New Roman"/>
          <w:sz w:val="24"/>
          <w:szCs w:val="24"/>
        </w:rPr>
        <w:t xml:space="preserve"> в связи </w:t>
      </w:r>
      <w:r w:rsidR="008C02BF" w:rsidRPr="006F5745">
        <w:rPr>
          <w:rFonts w:ascii="Times New Roman" w:hAnsi="Times New Roman" w:cs="Times New Roman"/>
          <w:sz w:val="24"/>
          <w:szCs w:val="24"/>
        </w:rPr>
        <w:t xml:space="preserve">с отсутствием </w:t>
      </w:r>
      <w:r w:rsidR="003C6EC3" w:rsidRPr="006F5745">
        <w:rPr>
          <w:rFonts w:ascii="Times New Roman" w:hAnsi="Times New Roman" w:cs="Times New Roman"/>
          <w:sz w:val="24"/>
          <w:szCs w:val="24"/>
        </w:rPr>
        <w:t xml:space="preserve">в </w:t>
      </w:r>
      <w:r w:rsidR="008C02BF" w:rsidRPr="006F5745">
        <w:rPr>
          <w:rFonts w:ascii="Times New Roman" w:hAnsi="Times New Roman" w:cs="Times New Roman"/>
          <w:sz w:val="24"/>
          <w:szCs w:val="24"/>
        </w:rPr>
        <w:t xml:space="preserve">среднесрочном периоде </w:t>
      </w:r>
      <w:r w:rsidR="003C6EC3" w:rsidRPr="006F5745">
        <w:rPr>
          <w:rFonts w:ascii="Times New Roman" w:hAnsi="Times New Roman" w:cs="Times New Roman"/>
          <w:sz w:val="24"/>
          <w:szCs w:val="24"/>
        </w:rPr>
        <w:t>планир</w:t>
      </w:r>
      <w:r w:rsidR="0097186B" w:rsidRPr="006F5745">
        <w:rPr>
          <w:rFonts w:ascii="Times New Roman" w:hAnsi="Times New Roman" w:cs="Times New Roman"/>
          <w:sz w:val="24"/>
          <w:szCs w:val="24"/>
        </w:rPr>
        <w:t xml:space="preserve">уемых </w:t>
      </w:r>
      <w:r w:rsidR="0040447E" w:rsidRPr="006F5745">
        <w:rPr>
          <w:rFonts w:ascii="Times New Roman" w:hAnsi="Times New Roman" w:cs="Times New Roman"/>
          <w:sz w:val="24"/>
          <w:szCs w:val="24"/>
        </w:rPr>
        <w:t>поступлений по государственной программе «Сотрудничество».</w:t>
      </w:r>
      <w:r w:rsidR="005C40CF" w:rsidRPr="006F57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177" w:rsidRPr="00723384" w:rsidRDefault="00707225" w:rsidP="00D7417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FE6">
        <w:rPr>
          <w:rFonts w:ascii="Times New Roman" w:hAnsi="Times New Roman" w:cs="Times New Roman"/>
          <w:sz w:val="24"/>
          <w:szCs w:val="24"/>
        </w:rPr>
        <w:t>С</w:t>
      </w:r>
      <w:r w:rsidR="00B775D4" w:rsidRPr="00794FE6">
        <w:rPr>
          <w:rFonts w:ascii="Times New Roman" w:hAnsi="Times New Roman" w:cs="Times New Roman"/>
          <w:sz w:val="24"/>
          <w:szCs w:val="24"/>
        </w:rPr>
        <w:t xml:space="preserve">остав и динамика </w:t>
      </w:r>
      <w:r w:rsidR="00D74177" w:rsidRPr="00794FE6">
        <w:rPr>
          <w:rFonts w:ascii="Times New Roman" w:hAnsi="Times New Roman" w:cs="Times New Roman"/>
          <w:sz w:val="24"/>
          <w:szCs w:val="24"/>
        </w:rPr>
        <w:t>налоговых доходов приведен</w:t>
      </w:r>
      <w:r w:rsidR="00E66BE9" w:rsidRPr="00794FE6">
        <w:rPr>
          <w:rFonts w:ascii="Times New Roman" w:hAnsi="Times New Roman" w:cs="Times New Roman"/>
          <w:sz w:val="24"/>
          <w:szCs w:val="24"/>
        </w:rPr>
        <w:t>ы</w:t>
      </w:r>
      <w:r w:rsidR="00D74177" w:rsidRPr="00794FE6">
        <w:rPr>
          <w:rFonts w:ascii="Times New Roman" w:hAnsi="Times New Roman" w:cs="Times New Roman"/>
          <w:sz w:val="24"/>
          <w:szCs w:val="24"/>
        </w:rPr>
        <w:t xml:space="preserve"> </w:t>
      </w:r>
      <w:r w:rsidR="0037315D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2C6CB9">
        <w:rPr>
          <w:rFonts w:ascii="Times New Roman" w:hAnsi="Times New Roman" w:cs="Times New Roman"/>
          <w:sz w:val="24"/>
          <w:szCs w:val="24"/>
        </w:rPr>
        <w:t>4</w:t>
      </w:r>
      <w:r w:rsidR="00D74177" w:rsidRPr="00794FE6">
        <w:rPr>
          <w:rFonts w:ascii="Times New Roman" w:hAnsi="Times New Roman" w:cs="Times New Roman"/>
          <w:sz w:val="24"/>
          <w:szCs w:val="24"/>
        </w:rPr>
        <w:t>.</w:t>
      </w:r>
      <w:r w:rsidR="00D74177" w:rsidRPr="00723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94FE6" w:rsidRDefault="00794FE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93ED5" w:rsidRDefault="00593ED5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55496" w:rsidRDefault="0015549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155496" w:rsidRDefault="00155496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74177" w:rsidRPr="00C86801" w:rsidRDefault="00A34B75" w:rsidP="00D74177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Таблица </w:t>
      </w:r>
      <w:r w:rsidR="002C6CB9">
        <w:rPr>
          <w:rFonts w:ascii="Times New Roman" w:hAnsi="Times New Roman" w:cs="Times New Roman"/>
          <w:noProof/>
          <w:sz w:val="24"/>
          <w:szCs w:val="24"/>
          <w:lang w:eastAsia="ru-RU"/>
        </w:rPr>
        <w:t>4</w:t>
      </w:r>
    </w:p>
    <w:p w:rsidR="00D74177" w:rsidRPr="008A7DD7" w:rsidRDefault="006A112A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</w:t>
      </w:r>
      <w:r w:rsidR="00225503" w:rsidRPr="008A7DD7">
        <w:rPr>
          <w:rFonts w:ascii="Times New Roman" w:hAnsi="Times New Roman" w:cs="Times New Roman"/>
          <w:sz w:val="24"/>
          <w:szCs w:val="24"/>
        </w:rPr>
        <w:t>динамика</w:t>
      </w:r>
      <w:r w:rsidR="00D74177" w:rsidRPr="008A7DD7">
        <w:rPr>
          <w:rFonts w:ascii="Times New Roman" w:hAnsi="Times New Roman" w:cs="Times New Roman"/>
          <w:sz w:val="24"/>
          <w:szCs w:val="24"/>
        </w:rPr>
        <w:t xml:space="preserve"> налоговых доходов</w:t>
      </w:r>
    </w:p>
    <w:p w:rsidR="00D74177" w:rsidRPr="008A7DD7" w:rsidRDefault="00D74177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бюджета Ханты-Мансийского автономного округа – Югры</w:t>
      </w:r>
    </w:p>
    <w:p w:rsidR="00D74177" w:rsidRPr="008A7DD7" w:rsidRDefault="00D74177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на 20</w:t>
      </w:r>
      <w:r w:rsidR="008E761F">
        <w:rPr>
          <w:rFonts w:ascii="Times New Roman" w:hAnsi="Times New Roman" w:cs="Times New Roman"/>
          <w:sz w:val="24"/>
          <w:szCs w:val="24"/>
        </w:rPr>
        <w:t>20</w:t>
      </w:r>
      <w:r w:rsidRPr="008A7DD7">
        <w:rPr>
          <w:rFonts w:ascii="Times New Roman" w:hAnsi="Times New Roman" w:cs="Times New Roman"/>
          <w:sz w:val="24"/>
          <w:szCs w:val="24"/>
        </w:rPr>
        <w:t>-202</w:t>
      </w:r>
      <w:r w:rsidR="008E761F">
        <w:rPr>
          <w:rFonts w:ascii="Times New Roman" w:hAnsi="Times New Roman" w:cs="Times New Roman"/>
          <w:sz w:val="24"/>
          <w:szCs w:val="24"/>
        </w:rPr>
        <w:t>3</w:t>
      </w:r>
      <w:r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E260EA" w:rsidRDefault="00E260EA" w:rsidP="00E260EA">
      <w:pPr>
        <w:tabs>
          <w:tab w:val="left" w:pos="93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581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276"/>
        <w:gridCol w:w="993"/>
        <w:gridCol w:w="1275"/>
        <w:gridCol w:w="992"/>
        <w:gridCol w:w="1250"/>
        <w:gridCol w:w="993"/>
      </w:tblGrid>
      <w:tr w:rsidR="00FA707E" w:rsidTr="009B38E9">
        <w:trPr>
          <w:trHeight w:val="176"/>
        </w:trPr>
        <w:tc>
          <w:tcPr>
            <w:tcW w:w="1526" w:type="dxa"/>
            <w:vMerge w:val="restart"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Вид дохода</w:t>
            </w:r>
          </w:p>
        </w:tc>
        <w:tc>
          <w:tcPr>
            <w:tcW w:w="1276" w:type="dxa"/>
            <w:vMerge w:val="restart"/>
            <w:vAlign w:val="center"/>
          </w:tcPr>
          <w:p w:rsidR="00344AC5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 xml:space="preserve">2020 год (Закон </w:t>
            </w:r>
          </w:p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№24-оз)</w:t>
            </w:r>
          </w:p>
        </w:tc>
        <w:tc>
          <w:tcPr>
            <w:tcW w:w="6779" w:type="dxa"/>
            <w:gridSpan w:val="6"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</w:tr>
      <w:tr w:rsidR="00FA707E" w:rsidTr="009B38E9">
        <w:tc>
          <w:tcPr>
            <w:tcW w:w="1526" w:type="dxa"/>
            <w:vMerge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9" w:type="dxa"/>
            <w:gridSpan w:val="2"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2267" w:type="dxa"/>
            <w:gridSpan w:val="2"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2243" w:type="dxa"/>
            <w:gridSpan w:val="2"/>
            <w:vAlign w:val="center"/>
          </w:tcPr>
          <w:p w:rsidR="00FA707E" w:rsidRPr="00FA707E" w:rsidRDefault="00FA707E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6371DC" w:rsidTr="009B38E9">
        <w:tc>
          <w:tcPr>
            <w:tcW w:w="1526" w:type="dxa"/>
            <w:vMerge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371DC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6371DC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  <w:tc>
          <w:tcPr>
            <w:tcW w:w="1275" w:type="dxa"/>
            <w:vAlign w:val="center"/>
          </w:tcPr>
          <w:p w:rsidR="006371DC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  <w:tc>
          <w:tcPr>
            <w:tcW w:w="1250" w:type="dxa"/>
            <w:vAlign w:val="center"/>
          </w:tcPr>
          <w:p w:rsidR="006371DC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6371DC" w:rsidRPr="00FA707E" w:rsidRDefault="006371DC" w:rsidP="006371DC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0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FA707E" w:rsidRDefault="006371DC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доходы, всего</w:t>
            </w:r>
          </w:p>
        </w:tc>
        <w:tc>
          <w:tcPr>
            <w:tcW w:w="1276" w:type="dxa"/>
            <w:vAlign w:val="center"/>
          </w:tcPr>
          <w:p w:rsidR="006371DC" w:rsidRPr="00FA707E" w:rsidRDefault="006371D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371DC">
              <w:rPr>
                <w:rFonts w:ascii="Times New Roman" w:hAnsi="Times New Roman" w:cs="Times New Roman"/>
                <w:b/>
                <w:sz w:val="16"/>
                <w:szCs w:val="16"/>
              </w:rPr>
              <w:t>200 081 602,3</w:t>
            </w:r>
          </w:p>
        </w:tc>
        <w:tc>
          <w:tcPr>
            <w:tcW w:w="1276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206 043 594,4</w:t>
            </w:r>
          </w:p>
        </w:tc>
        <w:tc>
          <w:tcPr>
            <w:tcW w:w="993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103,0</w:t>
            </w:r>
          </w:p>
        </w:tc>
        <w:tc>
          <w:tcPr>
            <w:tcW w:w="1275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207 785 559,1</w:t>
            </w:r>
          </w:p>
        </w:tc>
        <w:tc>
          <w:tcPr>
            <w:tcW w:w="992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100,8</w:t>
            </w:r>
          </w:p>
        </w:tc>
        <w:tc>
          <w:tcPr>
            <w:tcW w:w="1250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212 454 240,7</w:t>
            </w:r>
          </w:p>
        </w:tc>
        <w:tc>
          <w:tcPr>
            <w:tcW w:w="993" w:type="dxa"/>
            <w:vAlign w:val="center"/>
          </w:tcPr>
          <w:p w:rsidR="006371DC" w:rsidRPr="00FA707E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102,2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A562E9" w:rsidRDefault="006371DC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прибыль организаций</w:t>
            </w:r>
          </w:p>
        </w:tc>
        <w:tc>
          <w:tcPr>
            <w:tcW w:w="1276" w:type="dxa"/>
            <w:vAlign w:val="center"/>
          </w:tcPr>
          <w:p w:rsidR="006371DC" w:rsidRPr="00A562E9" w:rsidRDefault="006371D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76 231 053,9</w:t>
            </w:r>
          </w:p>
        </w:tc>
        <w:tc>
          <w:tcPr>
            <w:tcW w:w="1276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71 525 552,6</w:t>
            </w:r>
          </w:p>
        </w:tc>
        <w:tc>
          <w:tcPr>
            <w:tcW w:w="993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93,8</w:t>
            </w:r>
          </w:p>
        </w:tc>
        <w:tc>
          <w:tcPr>
            <w:tcW w:w="1275" w:type="dxa"/>
            <w:vAlign w:val="center"/>
          </w:tcPr>
          <w:p w:rsidR="006371DC" w:rsidRPr="00A562E9" w:rsidRDefault="007661D6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70 099 294,2</w:t>
            </w:r>
          </w:p>
        </w:tc>
        <w:tc>
          <w:tcPr>
            <w:tcW w:w="992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1250" w:type="dxa"/>
            <w:vAlign w:val="center"/>
          </w:tcPr>
          <w:p w:rsidR="006371DC" w:rsidRPr="00A562E9" w:rsidRDefault="007661D6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72 007 629,0</w:t>
            </w:r>
          </w:p>
        </w:tc>
        <w:tc>
          <w:tcPr>
            <w:tcW w:w="993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102,7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A562E9" w:rsidRDefault="006371DC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276" w:type="dxa"/>
            <w:vAlign w:val="center"/>
          </w:tcPr>
          <w:p w:rsidR="006371DC" w:rsidRPr="00A562E9" w:rsidRDefault="006371D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60 153 788,5</w:t>
            </w:r>
          </w:p>
        </w:tc>
        <w:tc>
          <w:tcPr>
            <w:tcW w:w="1276" w:type="dxa"/>
            <w:vAlign w:val="center"/>
          </w:tcPr>
          <w:p w:rsidR="006371DC" w:rsidRPr="00A562E9" w:rsidRDefault="007661D6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63 874 780,0</w:t>
            </w:r>
          </w:p>
        </w:tc>
        <w:tc>
          <w:tcPr>
            <w:tcW w:w="993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106,2</w:t>
            </w:r>
          </w:p>
        </w:tc>
        <w:tc>
          <w:tcPr>
            <w:tcW w:w="1275" w:type="dxa"/>
            <w:vAlign w:val="center"/>
          </w:tcPr>
          <w:p w:rsidR="006371DC" w:rsidRPr="00A562E9" w:rsidRDefault="007661D6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64 046 546,0</w:t>
            </w:r>
          </w:p>
        </w:tc>
        <w:tc>
          <w:tcPr>
            <w:tcW w:w="992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100,3</w:t>
            </w:r>
          </w:p>
        </w:tc>
        <w:tc>
          <w:tcPr>
            <w:tcW w:w="1250" w:type="dxa"/>
            <w:vAlign w:val="center"/>
          </w:tcPr>
          <w:p w:rsidR="006371DC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64 427 236,7</w:t>
            </w:r>
          </w:p>
        </w:tc>
        <w:tc>
          <w:tcPr>
            <w:tcW w:w="993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A562E9" w:rsidRDefault="006371DC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vAlign w:val="center"/>
          </w:tcPr>
          <w:p w:rsidR="006371DC" w:rsidRPr="00A562E9" w:rsidRDefault="006371D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51 607 603,4</w:t>
            </w:r>
          </w:p>
        </w:tc>
        <w:tc>
          <w:tcPr>
            <w:tcW w:w="1276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57 227 769,8</w:t>
            </w:r>
          </w:p>
        </w:tc>
        <w:tc>
          <w:tcPr>
            <w:tcW w:w="993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110,9</w:t>
            </w:r>
          </w:p>
        </w:tc>
        <w:tc>
          <w:tcPr>
            <w:tcW w:w="1275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60 212 530,7</w:t>
            </w:r>
          </w:p>
        </w:tc>
        <w:tc>
          <w:tcPr>
            <w:tcW w:w="992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105,2</w:t>
            </w:r>
          </w:p>
        </w:tc>
        <w:tc>
          <w:tcPr>
            <w:tcW w:w="1250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62 564 963,9</w:t>
            </w:r>
          </w:p>
        </w:tc>
        <w:tc>
          <w:tcPr>
            <w:tcW w:w="993" w:type="dxa"/>
            <w:vAlign w:val="center"/>
          </w:tcPr>
          <w:p w:rsidR="006371DC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103,9</w:t>
            </w:r>
          </w:p>
        </w:tc>
      </w:tr>
      <w:tr w:rsidR="006371DC" w:rsidTr="009B38E9">
        <w:tc>
          <w:tcPr>
            <w:tcW w:w="1526" w:type="dxa"/>
            <w:vAlign w:val="center"/>
          </w:tcPr>
          <w:p w:rsidR="006371DC" w:rsidRPr="00A562E9" w:rsidRDefault="006371DC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Акцизы</w:t>
            </w:r>
          </w:p>
        </w:tc>
        <w:tc>
          <w:tcPr>
            <w:tcW w:w="1276" w:type="dxa"/>
            <w:vAlign w:val="center"/>
          </w:tcPr>
          <w:p w:rsidR="006371DC" w:rsidRPr="00A562E9" w:rsidRDefault="006371D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8 599 212,2</w:t>
            </w:r>
          </w:p>
        </w:tc>
        <w:tc>
          <w:tcPr>
            <w:tcW w:w="1276" w:type="dxa"/>
            <w:vAlign w:val="center"/>
          </w:tcPr>
          <w:p w:rsidR="006371DC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9 877 149,0</w:t>
            </w:r>
          </w:p>
        </w:tc>
        <w:tc>
          <w:tcPr>
            <w:tcW w:w="993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5" w:type="dxa"/>
            <w:vAlign w:val="center"/>
          </w:tcPr>
          <w:p w:rsidR="006371DC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9 879 785,2</w:t>
            </w:r>
          </w:p>
        </w:tc>
        <w:tc>
          <w:tcPr>
            <w:tcW w:w="992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250" w:type="dxa"/>
            <w:vAlign w:val="center"/>
          </w:tcPr>
          <w:p w:rsidR="006371DC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9 880 840,9</w:t>
            </w:r>
          </w:p>
        </w:tc>
        <w:tc>
          <w:tcPr>
            <w:tcW w:w="993" w:type="dxa"/>
            <w:vAlign w:val="center"/>
          </w:tcPr>
          <w:p w:rsidR="006371DC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344AC5" w:rsidTr="009B38E9">
        <w:tc>
          <w:tcPr>
            <w:tcW w:w="1526" w:type="dxa"/>
            <w:vAlign w:val="center"/>
          </w:tcPr>
          <w:p w:rsidR="00344AC5" w:rsidRPr="00A562E9" w:rsidRDefault="00344AC5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1276" w:type="dxa"/>
            <w:vAlign w:val="center"/>
          </w:tcPr>
          <w:p w:rsidR="00344AC5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2 587 170,9</w:t>
            </w:r>
          </w:p>
        </w:tc>
        <w:tc>
          <w:tcPr>
            <w:tcW w:w="1276" w:type="dxa"/>
            <w:vAlign w:val="center"/>
          </w:tcPr>
          <w:p w:rsidR="00344AC5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2 688 368,8</w:t>
            </w:r>
          </w:p>
        </w:tc>
        <w:tc>
          <w:tcPr>
            <w:tcW w:w="993" w:type="dxa"/>
            <w:vAlign w:val="center"/>
          </w:tcPr>
          <w:p w:rsidR="00344AC5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103,9</w:t>
            </w:r>
          </w:p>
        </w:tc>
        <w:tc>
          <w:tcPr>
            <w:tcW w:w="1275" w:type="dxa"/>
            <w:vAlign w:val="center"/>
          </w:tcPr>
          <w:p w:rsidR="00344AC5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2 707 082,0</w:t>
            </w:r>
          </w:p>
        </w:tc>
        <w:tc>
          <w:tcPr>
            <w:tcW w:w="992" w:type="dxa"/>
            <w:vAlign w:val="center"/>
          </w:tcPr>
          <w:p w:rsidR="00344AC5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1250" w:type="dxa"/>
            <w:vAlign w:val="center"/>
          </w:tcPr>
          <w:p w:rsidR="00344AC5" w:rsidRPr="00A562E9" w:rsidRDefault="00344AC5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2 724 384,0</w:t>
            </w:r>
          </w:p>
        </w:tc>
        <w:tc>
          <w:tcPr>
            <w:tcW w:w="993" w:type="dxa"/>
            <w:vAlign w:val="center"/>
          </w:tcPr>
          <w:p w:rsidR="00344AC5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344AC5" w:rsidTr="009B38E9">
        <w:tc>
          <w:tcPr>
            <w:tcW w:w="1526" w:type="dxa"/>
            <w:vAlign w:val="center"/>
          </w:tcPr>
          <w:p w:rsidR="00344AC5" w:rsidRPr="00A562E9" w:rsidRDefault="00344AC5" w:rsidP="009B38E9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Остальные налоговые доходы</w:t>
            </w:r>
          </w:p>
        </w:tc>
        <w:tc>
          <w:tcPr>
            <w:tcW w:w="1276" w:type="dxa"/>
            <w:vAlign w:val="center"/>
          </w:tcPr>
          <w:p w:rsidR="00344AC5" w:rsidRPr="00A562E9" w:rsidRDefault="00344AC5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902 773,4</w:t>
            </w:r>
          </w:p>
        </w:tc>
        <w:tc>
          <w:tcPr>
            <w:tcW w:w="1276" w:type="dxa"/>
            <w:vAlign w:val="center"/>
          </w:tcPr>
          <w:p w:rsidR="00344AC5" w:rsidRPr="00A562E9" w:rsidRDefault="00F818F1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849 974,2</w:t>
            </w:r>
          </w:p>
        </w:tc>
        <w:tc>
          <w:tcPr>
            <w:tcW w:w="993" w:type="dxa"/>
            <w:vAlign w:val="center"/>
          </w:tcPr>
          <w:p w:rsidR="00344AC5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5" w:type="dxa"/>
            <w:vAlign w:val="center"/>
          </w:tcPr>
          <w:p w:rsidR="00344AC5" w:rsidRPr="00A562E9" w:rsidRDefault="00F818F1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840 321,0</w:t>
            </w:r>
          </w:p>
        </w:tc>
        <w:tc>
          <w:tcPr>
            <w:tcW w:w="992" w:type="dxa"/>
            <w:vAlign w:val="center"/>
          </w:tcPr>
          <w:p w:rsidR="00344AC5" w:rsidRPr="00A562E9" w:rsidRDefault="003E0CCC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98,9</w:t>
            </w:r>
          </w:p>
        </w:tc>
        <w:tc>
          <w:tcPr>
            <w:tcW w:w="1250" w:type="dxa"/>
            <w:vAlign w:val="center"/>
          </w:tcPr>
          <w:p w:rsidR="00344AC5" w:rsidRPr="00A562E9" w:rsidRDefault="00F818F1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849 186,2</w:t>
            </w:r>
          </w:p>
        </w:tc>
        <w:tc>
          <w:tcPr>
            <w:tcW w:w="993" w:type="dxa"/>
            <w:vAlign w:val="center"/>
          </w:tcPr>
          <w:p w:rsidR="00344AC5" w:rsidRPr="00A562E9" w:rsidRDefault="00F818F1" w:rsidP="00FA707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101,1</w:t>
            </w:r>
          </w:p>
        </w:tc>
      </w:tr>
    </w:tbl>
    <w:p w:rsidR="00E260EA" w:rsidRDefault="00E260EA" w:rsidP="00E260EA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9EC" w:rsidRPr="00F818F1" w:rsidRDefault="004B1511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 xml:space="preserve">Общая сумма </w:t>
      </w:r>
      <w:r w:rsidR="002F69EC" w:rsidRPr="00F818F1">
        <w:rPr>
          <w:rFonts w:ascii="Times New Roman" w:hAnsi="Times New Roman" w:cs="Times New Roman"/>
          <w:b/>
          <w:sz w:val="24"/>
          <w:szCs w:val="24"/>
        </w:rPr>
        <w:t>налоговых</w:t>
      </w:r>
      <w:r w:rsidR="002F69EC" w:rsidRPr="00F818F1">
        <w:rPr>
          <w:rFonts w:ascii="Times New Roman" w:hAnsi="Times New Roman" w:cs="Times New Roman"/>
          <w:sz w:val="24"/>
          <w:szCs w:val="24"/>
        </w:rPr>
        <w:t xml:space="preserve"> доходов в бюджете автономного округа составила: </w:t>
      </w:r>
    </w:p>
    <w:p w:rsidR="002F69EC" w:rsidRPr="00F818F1" w:rsidRDefault="002F6258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2021</w:t>
      </w:r>
      <w:r w:rsidR="002F69EC" w:rsidRPr="00F818F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818F1" w:rsidRPr="00F818F1">
        <w:rPr>
          <w:rFonts w:ascii="Times New Roman" w:hAnsi="Times New Roman" w:cs="Times New Roman"/>
          <w:sz w:val="24"/>
          <w:szCs w:val="24"/>
        </w:rPr>
        <w:t>206 043 594,4</w:t>
      </w:r>
      <w:r w:rsidR="002F69EC" w:rsidRPr="00F818F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2F69EC" w:rsidRPr="00F818F1" w:rsidRDefault="002F6258" w:rsidP="002F69EC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2022</w:t>
      </w:r>
      <w:r w:rsidR="00F818F1" w:rsidRPr="00F818F1">
        <w:rPr>
          <w:rFonts w:ascii="Times New Roman" w:hAnsi="Times New Roman" w:cs="Times New Roman"/>
          <w:sz w:val="24"/>
          <w:szCs w:val="24"/>
        </w:rPr>
        <w:t xml:space="preserve"> год – 207 785 559,1</w:t>
      </w:r>
      <w:r w:rsidR="002F69EC" w:rsidRPr="00F818F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2F69EC" w:rsidRPr="000F308A" w:rsidRDefault="002F6258" w:rsidP="007661D6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2023</w:t>
      </w:r>
      <w:r w:rsidR="002846E1" w:rsidRPr="00F818F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818F1" w:rsidRPr="00F818F1">
        <w:rPr>
          <w:rFonts w:ascii="Times New Roman" w:hAnsi="Times New Roman" w:cs="Times New Roman"/>
          <w:sz w:val="24"/>
          <w:szCs w:val="24"/>
        </w:rPr>
        <w:t>212 454 240,7</w:t>
      </w:r>
      <w:r w:rsidR="002F69EC" w:rsidRPr="00F818F1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2F69EC" w:rsidRPr="000F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173F" w:rsidRPr="00150A74" w:rsidRDefault="002E173F" w:rsidP="002E173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528C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="000B78F9" w:rsidRPr="00B3528C">
        <w:rPr>
          <w:rFonts w:ascii="Times New Roman" w:hAnsi="Times New Roman" w:cs="Times New Roman"/>
          <w:sz w:val="24"/>
          <w:szCs w:val="24"/>
        </w:rPr>
        <w:t xml:space="preserve">в </w:t>
      </w:r>
      <w:r w:rsidR="006A26C7" w:rsidRPr="00B3528C">
        <w:rPr>
          <w:rFonts w:ascii="Times New Roman" w:hAnsi="Times New Roman" w:cs="Times New Roman"/>
          <w:sz w:val="24"/>
          <w:szCs w:val="24"/>
        </w:rPr>
        <w:t>н</w:t>
      </w:r>
      <w:r w:rsidR="005642F0" w:rsidRPr="00B3528C">
        <w:rPr>
          <w:rFonts w:ascii="Times New Roman" w:hAnsi="Times New Roman" w:cs="Times New Roman"/>
          <w:sz w:val="24"/>
          <w:szCs w:val="24"/>
        </w:rPr>
        <w:t xml:space="preserve">алоговых </w:t>
      </w:r>
      <w:r w:rsidR="00C07413" w:rsidRPr="00B3528C">
        <w:rPr>
          <w:rFonts w:ascii="Times New Roman" w:hAnsi="Times New Roman" w:cs="Times New Roman"/>
          <w:sz w:val="24"/>
          <w:szCs w:val="24"/>
        </w:rPr>
        <w:t>доход</w:t>
      </w:r>
      <w:r w:rsidR="006A26C7" w:rsidRPr="00B3528C">
        <w:rPr>
          <w:rFonts w:ascii="Times New Roman" w:hAnsi="Times New Roman" w:cs="Times New Roman"/>
          <w:sz w:val="24"/>
          <w:szCs w:val="24"/>
        </w:rPr>
        <w:t>ах</w:t>
      </w:r>
      <w:r w:rsidRPr="00B3528C">
        <w:rPr>
          <w:rFonts w:ascii="Times New Roman" w:hAnsi="Times New Roman" w:cs="Times New Roman"/>
          <w:sz w:val="24"/>
          <w:szCs w:val="24"/>
        </w:rPr>
        <w:t xml:space="preserve"> </w:t>
      </w:r>
      <w:r w:rsidR="00B11509" w:rsidRPr="00B3528C">
        <w:rPr>
          <w:rFonts w:ascii="Times New Roman" w:hAnsi="Times New Roman" w:cs="Times New Roman"/>
          <w:sz w:val="24"/>
          <w:szCs w:val="24"/>
        </w:rPr>
        <w:t>являются</w:t>
      </w:r>
      <w:r w:rsidRPr="00B3528C">
        <w:rPr>
          <w:rFonts w:ascii="Times New Roman" w:hAnsi="Times New Roman" w:cs="Times New Roman"/>
          <w:sz w:val="24"/>
          <w:szCs w:val="24"/>
        </w:rPr>
        <w:t xml:space="preserve"> налоги на прибыль и имущество организаций, налог на доходы физических лиц</w:t>
      </w:r>
      <w:r w:rsidR="00697CB2" w:rsidRPr="00B3528C">
        <w:rPr>
          <w:rFonts w:ascii="Times New Roman" w:hAnsi="Times New Roman" w:cs="Times New Roman"/>
          <w:sz w:val="24"/>
          <w:szCs w:val="24"/>
        </w:rPr>
        <w:t>, акцизы по подакцизным товарам и транспортный налог</w:t>
      </w:r>
      <w:r w:rsidRPr="00B3528C">
        <w:rPr>
          <w:rFonts w:ascii="Times New Roman" w:hAnsi="Times New Roman" w:cs="Times New Roman"/>
          <w:sz w:val="24"/>
          <w:szCs w:val="24"/>
        </w:rPr>
        <w:t>.</w:t>
      </w:r>
      <w:r w:rsidRPr="00150A7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41738" w:rsidRDefault="008F2C9F" w:rsidP="006C47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 xml:space="preserve">Расчёт </w:t>
      </w:r>
      <w:r w:rsidRPr="006C4797">
        <w:rPr>
          <w:rFonts w:ascii="Times New Roman" w:hAnsi="Times New Roman" w:cs="Times New Roman"/>
          <w:sz w:val="24"/>
          <w:szCs w:val="24"/>
        </w:rPr>
        <w:t>налога на прибыль организаций</w:t>
      </w:r>
      <w:r w:rsidRPr="00C86801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4E21DD" w:rsidRPr="00C86801">
        <w:rPr>
          <w:rFonts w:ascii="Times New Roman" w:hAnsi="Times New Roman" w:cs="Times New Roman"/>
          <w:sz w:val="24"/>
          <w:szCs w:val="24"/>
        </w:rPr>
        <w:t>ен</w:t>
      </w:r>
      <w:r w:rsidR="0034023B" w:rsidRPr="00C86801">
        <w:rPr>
          <w:rFonts w:ascii="Times New Roman" w:hAnsi="Times New Roman" w:cs="Times New Roman"/>
          <w:sz w:val="24"/>
          <w:szCs w:val="24"/>
        </w:rPr>
        <w:t xml:space="preserve"> методом прямого расчёта</w:t>
      </w:r>
      <w:r w:rsidR="00AF40FA">
        <w:rPr>
          <w:rFonts w:ascii="Times New Roman" w:hAnsi="Times New Roman" w:cs="Times New Roman"/>
          <w:sz w:val="24"/>
          <w:szCs w:val="24"/>
        </w:rPr>
        <w:t>. На прогнозируемые периоды сохраняется общая ставка налогообложения – 20 % и зачисляемая в региональный бюджет – 17%</w:t>
      </w:r>
      <w:r w:rsidR="006248D5">
        <w:rPr>
          <w:rFonts w:ascii="Times New Roman" w:hAnsi="Times New Roman" w:cs="Times New Roman"/>
          <w:sz w:val="24"/>
          <w:szCs w:val="24"/>
        </w:rPr>
        <w:t>.</w:t>
      </w:r>
      <w:r w:rsidR="00AF4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4457" w:rsidRPr="00C86801" w:rsidRDefault="006248D5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расчёте налога </w:t>
      </w:r>
      <w:r w:rsidR="008D4457" w:rsidRPr="00C86801">
        <w:rPr>
          <w:rFonts w:ascii="Times New Roman" w:hAnsi="Times New Roman" w:cs="Times New Roman"/>
          <w:sz w:val="24"/>
          <w:szCs w:val="24"/>
        </w:rPr>
        <w:t>учтены:</w:t>
      </w:r>
    </w:p>
    <w:p w:rsidR="006E744D" w:rsidRPr="00C86801" w:rsidRDefault="008D4457" w:rsidP="008D445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77C6">
        <w:rPr>
          <w:rFonts w:ascii="Times New Roman" w:hAnsi="Times New Roman" w:cs="Times New Roman"/>
          <w:sz w:val="24"/>
          <w:szCs w:val="24"/>
        </w:rPr>
        <w:t>налоговые ставки</w:t>
      </w:r>
      <w:r w:rsidRPr="00C86801">
        <w:rPr>
          <w:rFonts w:ascii="Times New Roman" w:hAnsi="Times New Roman" w:cs="Times New Roman"/>
          <w:sz w:val="24"/>
          <w:szCs w:val="24"/>
        </w:rPr>
        <w:t>, льготы и преференции, предусмотренные главой 25 Налогового кодекса</w:t>
      </w:r>
      <w:r w:rsidR="00800851" w:rsidRPr="00C86801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C86801">
        <w:rPr>
          <w:rFonts w:ascii="Times New Roman" w:hAnsi="Times New Roman" w:cs="Times New Roman"/>
          <w:sz w:val="24"/>
          <w:szCs w:val="24"/>
        </w:rPr>
        <w:t xml:space="preserve"> «Налог на прибыль организаций», законом Ханты-Мансийского автономного округа – Югры от 30.09.2011 №87-оз «О ставках налога на прибыль организаций, подлежащего зачислению в бюджет Ханты-Мансийского автономного округа – Югры», </w:t>
      </w:r>
      <w:r w:rsidR="00367677" w:rsidRPr="00C86801">
        <w:rPr>
          <w:rFonts w:ascii="Times New Roman" w:hAnsi="Times New Roman" w:cs="Times New Roman"/>
          <w:sz w:val="24"/>
          <w:szCs w:val="24"/>
        </w:rPr>
        <w:t>с внесенными и плани</w:t>
      </w:r>
      <w:r w:rsidRPr="00C86801">
        <w:rPr>
          <w:rFonts w:ascii="Times New Roman" w:hAnsi="Times New Roman" w:cs="Times New Roman"/>
          <w:sz w:val="24"/>
          <w:szCs w:val="24"/>
        </w:rPr>
        <w:t>руемыми к внесению изменениями;</w:t>
      </w:r>
    </w:p>
    <w:p w:rsidR="00362D7F" w:rsidRPr="00C86801" w:rsidRDefault="00E004FA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оценка начислений текущего года и прогноз на 20</w:t>
      </w:r>
      <w:r w:rsidR="002C68E0">
        <w:rPr>
          <w:rFonts w:ascii="Times New Roman" w:hAnsi="Times New Roman" w:cs="Times New Roman"/>
          <w:sz w:val="24"/>
          <w:szCs w:val="24"/>
        </w:rPr>
        <w:t>2</w:t>
      </w:r>
      <w:r w:rsidR="002F6258">
        <w:rPr>
          <w:rFonts w:ascii="Times New Roman" w:hAnsi="Times New Roman" w:cs="Times New Roman"/>
          <w:sz w:val="24"/>
          <w:szCs w:val="24"/>
        </w:rPr>
        <w:t>1</w:t>
      </w:r>
      <w:r w:rsidRPr="00C86801">
        <w:rPr>
          <w:rFonts w:ascii="Times New Roman" w:hAnsi="Times New Roman" w:cs="Times New Roman"/>
          <w:sz w:val="24"/>
          <w:szCs w:val="24"/>
        </w:rPr>
        <w:t xml:space="preserve"> – 202</w:t>
      </w:r>
      <w:r w:rsidR="002F6258">
        <w:rPr>
          <w:rFonts w:ascii="Times New Roman" w:hAnsi="Times New Roman" w:cs="Times New Roman"/>
          <w:sz w:val="24"/>
          <w:szCs w:val="24"/>
        </w:rPr>
        <w:t>3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годы</w:t>
      </w:r>
      <w:r w:rsidR="00363F2D">
        <w:rPr>
          <w:rFonts w:ascii="Times New Roman" w:hAnsi="Times New Roman" w:cs="Times New Roman"/>
          <w:sz w:val="24"/>
          <w:szCs w:val="24"/>
        </w:rPr>
        <w:t xml:space="preserve"> п</w:t>
      </w:r>
      <w:r w:rsidR="008A3EF4">
        <w:rPr>
          <w:rFonts w:ascii="Times New Roman" w:hAnsi="Times New Roman" w:cs="Times New Roman"/>
          <w:sz w:val="24"/>
          <w:szCs w:val="24"/>
        </w:rPr>
        <w:t xml:space="preserve">о </w:t>
      </w:r>
      <w:r w:rsidRPr="00C86801">
        <w:rPr>
          <w:rFonts w:ascii="Times New Roman" w:hAnsi="Times New Roman" w:cs="Times New Roman"/>
          <w:sz w:val="24"/>
          <w:szCs w:val="24"/>
        </w:rPr>
        <w:t>данны</w:t>
      </w:r>
      <w:r w:rsidR="008A3EF4">
        <w:rPr>
          <w:rFonts w:ascii="Times New Roman" w:hAnsi="Times New Roman" w:cs="Times New Roman"/>
          <w:sz w:val="24"/>
          <w:szCs w:val="24"/>
        </w:rPr>
        <w:t>м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6F095A">
        <w:rPr>
          <w:rFonts w:ascii="Times New Roman" w:hAnsi="Times New Roman" w:cs="Times New Roman"/>
          <w:sz w:val="24"/>
          <w:szCs w:val="24"/>
        </w:rPr>
        <w:t>Федеральной налоговой службы (</w:t>
      </w:r>
      <w:r w:rsidR="00362D7F" w:rsidRPr="00C86801">
        <w:rPr>
          <w:rFonts w:ascii="Times New Roman" w:hAnsi="Times New Roman" w:cs="Times New Roman"/>
          <w:sz w:val="24"/>
          <w:szCs w:val="24"/>
        </w:rPr>
        <w:t>Управлени</w:t>
      </w:r>
      <w:r w:rsidRPr="00C86801">
        <w:rPr>
          <w:rFonts w:ascii="Times New Roman" w:hAnsi="Times New Roman" w:cs="Times New Roman"/>
          <w:sz w:val="24"/>
          <w:szCs w:val="24"/>
        </w:rPr>
        <w:t>я</w:t>
      </w:r>
      <w:r w:rsidR="00362D7F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9D46A1" w:rsidRPr="00C86801">
        <w:rPr>
          <w:rFonts w:ascii="Times New Roman" w:hAnsi="Times New Roman" w:cs="Times New Roman"/>
          <w:sz w:val="24"/>
          <w:szCs w:val="24"/>
        </w:rPr>
        <w:t>Ф</w:t>
      </w:r>
      <w:r w:rsidR="00362D7F" w:rsidRPr="00C86801">
        <w:rPr>
          <w:rFonts w:ascii="Times New Roman" w:hAnsi="Times New Roman" w:cs="Times New Roman"/>
          <w:sz w:val="24"/>
          <w:szCs w:val="24"/>
        </w:rPr>
        <w:t>едеральной налоговой службы по Ханты-Мансийскому автономному округу – Югре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="00362D7F" w:rsidRPr="00C86801">
        <w:rPr>
          <w:rFonts w:ascii="Times New Roman" w:hAnsi="Times New Roman" w:cs="Times New Roman"/>
          <w:sz w:val="24"/>
          <w:szCs w:val="24"/>
        </w:rPr>
        <w:t>;</w:t>
      </w:r>
    </w:p>
    <w:p w:rsidR="00362D7F" w:rsidRPr="00C86801" w:rsidRDefault="0089247D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lastRenderedPageBreak/>
        <w:t>динамик</w:t>
      </w:r>
      <w:r w:rsidR="00E004FA" w:rsidRPr="00C86801">
        <w:rPr>
          <w:rFonts w:ascii="Times New Roman" w:hAnsi="Times New Roman" w:cs="Times New Roman"/>
          <w:sz w:val="24"/>
          <w:szCs w:val="24"/>
        </w:rPr>
        <w:t>а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362D7F" w:rsidRPr="00C86801">
        <w:rPr>
          <w:rFonts w:ascii="Times New Roman" w:hAnsi="Times New Roman" w:cs="Times New Roman"/>
          <w:sz w:val="24"/>
          <w:szCs w:val="24"/>
        </w:rPr>
        <w:t>поступлений в бюджет Ханты-Мансийского автономного округа – Югры</w:t>
      </w:r>
      <w:r w:rsidRPr="00C86801">
        <w:rPr>
          <w:rFonts w:ascii="Times New Roman" w:hAnsi="Times New Roman" w:cs="Times New Roman"/>
          <w:sz w:val="24"/>
          <w:szCs w:val="24"/>
        </w:rPr>
        <w:t xml:space="preserve"> в текущем финансовом </w:t>
      </w:r>
      <w:r w:rsidRPr="00B7071E">
        <w:rPr>
          <w:rFonts w:ascii="Times New Roman" w:hAnsi="Times New Roman" w:cs="Times New Roman"/>
          <w:sz w:val="24"/>
          <w:szCs w:val="24"/>
        </w:rPr>
        <w:t xml:space="preserve">году </w:t>
      </w:r>
      <w:r w:rsidR="00446A69" w:rsidRPr="00B7071E">
        <w:rPr>
          <w:rFonts w:ascii="Times New Roman" w:hAnsi="Times New Roman" w:cs="Times New Roman"/>
          <w:sz w:val="24"/>
          <w:szCs w:val="24"/>
        </w:rPr>
        <w:t xml:space="preserve">и </w:t>
      </w:r>
      <w:r w:rsidRPr="00B7071E">
        <w:rPr>
          <w:rFonts w:ascii="Times New Roman" w:hAnsi="Times New Roman" w:cs="Times New Roman"/>
          <w:sz w:val="24"/>
          <w:szCs w:val="24"/>
        </w:rPr>
        <w:t xml:space="preserve">за </w:t>
      </w:r>
      <w:r w:rsidR="00DB6C8A">
        <w:rPr>
          <w:rFonts w:ascii="Times New Roman" w:hAnsi="Times New Roman" w:cs="Times New Roman"/>
          <w:sz w:val="24"/>
          <w:szCs w:val="24"/>
        </w:rPr>
        <w:t>предыдущие финансовые периоды</w:t>
      </w:r>
      <w:r w:rsidR="00446A69" w:rsidRPr="00B7071E">
        <w:rPr>
          <w:rFonts w:ascii="Times New Roman" w:hAnsi="Times New Roman" w:cs="Times New Roman"/>
          <w:sz w:val="24"/>
          <w:szCs w:val="24"/>
        </w:rPr>
        <w:t xml:space="preserve"> </w:t>
      </w:r>
      <w:r w:rsidR="00446A69" w:rsidRPr="00C86801">
        <w:rPr>
          <w:rFonts w:ascii="Times New Roman" w:hAnsi="Times New Roman" w:cs="Times New Roman"/>
          <w:sz w:val="24"/>
          <w:szCs w:val="24"/>
        </w:rPr>
        <w:t>с учетом как внешних, так и внутренних факторов</w:t>
      </w:r>
      <w:r w:rsidR="00367677" w:rsidRPr="00C86801">
        <w:rPr>
          <w:rFonts w:ascii="Times New Roman" w:hAnsi="Times New Roman" w:cs="Times New Roman"/>
          <w:sz w:val="24"/>
          <w:szCs w:val="24"/>
        </w:rPr>
        <w:t xml:space="preserve"> (налоговая отчетность по форме № 1-НМ «Отчет о начислении и поступлении налогов, сборов и иных обязательных платежей в бюджетную систему Российской Федерации»); </w:t>
      </w:r>
    </w:p>
    <w:p w:rsidR="00746206" w:rsidRPr="00C86801" w:rsidRDefault="00746206" w:rsidP="0074620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динамика налоговой базы по налогу (налоговая отчетность по форме № 5-П «Отчет о налоговой базе и структуре начислений по налогу на прибыль организаций»);</w:t>
      </w:r>
    </w:p>
    <w:p w:rsidR="00362D7F" w:rsidRDefault="00362D7F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условия Договора об отношениях между органами власти Тюменской области, Ханты-Мансийского и Ямало-Ненецкого автономных округов, согласно которым в бюджет Тюменской области отчисляется 29,5% от суммы налога на прибыль,</w:t>
      </w:r>
      <w:r w:rsidR="00B92C82" w:rsidRPr="00C86801">
        <w:rPr>
          <w:rFonts w:ascii="Times New Roman" w:hAnsi="Times New Roman" w:cs="Times New Roman"/>
          <w:sz w:val="24"/>
          <w:szCs w:val="24"/>
        </w:rPr>
        <w:t xml:space="preserve"> подлежащего</w:t>
      </w:r>
      <w:r w:rsidRPr="00C86801">
        <w:rPr>
          <w:rFonts w:ascii="Times New Roman" w:hAnsi="Times New Roman" w:cs="Times New Roman"/>
          <w:sz w:val="24"/>
          <w:szCs w:val="24"/>
        </w:rPr>
        <w:t xml:space="preserve"> зачисл</w:t>
      </w:r>
      <w:r w:rsidR="00B92C82" w:rsidRPr="00C86801">
        <w:rPr>
          <w:rFonts w:ascii="Times New Roman" w:hAnsi="Times New Roman" w:cs="Times New Roman"/>
          <w:sz w:val="24"/>
          <w:szCs w:val="24"/>
        </w:rPr>
        <w:t>ению в бюджет Югры</w:t>
      </w:r>
      <w:r w:rsidR="00367677" w:rsidRPr="00C86801">
        <w:rPr>
          <w:rFonts w:ascii="Times New Roman" w:hAnsi="Times New Roman" w:cs="Times New Roman"/>
          <w:sz w:val="24"/>
          <w:szCs w:val="24"/>
        </w:rPr>
        <w:t>;</w:t>
      </w:r>
    </w:p>
    <w:p w:rsidR="00C90837" w:rsidRDefault="00C90837" w:rsidP="00362D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FC2">
        <w:rPr>
          <w:rFonts w:ascii="Times New Roman" w:hAnsi="Times New Roman" w:cs="Times New Roman"/>
          <w:sz w:val="24"/>
          <w:szCs w:val="24"/>
        </w:rPr>
        <w:t>прогноз поступлений крупн</w:t>
      </w:r>
      <w:r w:rsidR="00C42D4A">
        <w:rPr>
          <w:rFonts w:ascii="Times New Roman" w:hAnsi="Times New Roman" w:cs="Times New Roman"/>
          <w:sz w:val="24"/>
          <w:szCs w:val="24"/>
        </w:rPr>
        <w:t>ейших</w:t>
      </w:r>
      <w:r w:rsidRPr="003D3FC2">
        <w:rPr>
          <w:rFonts w:ascii="Times New Roman" w:hAnsi="Times New Roman" w:cs="Times New Roman"/>
          <w:sz w:val="24"/>
          <w:szCs w:val="24"/>
        </w:rPr>
        <w:t xml:space="preserve"> налого</w:t>
      </w:r>
      <w:r w:rsidR="008F696B">
        <w:rPr>
          <w:rFonts w:ascii="Times New Roman" w:hAnsi="Times New Roman" w:cs="Times New Roman"/>
          <w:sz w:val="24"/>
          <w:szCs w:val="24"/>
        </w:rPr>
        <w:t>плательщиков.</w:t>
      </w:r>
    </w:p>
    <w:p w:rsidR="00362D7F" w:rsidRPr="00C86801" w:rsidRDefault="00362D7F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В результате</w:t>
      </w:r>
      <w:r w:rsidR="00EA7E75">
        <w:rPr>
          <w:rFonts w:ascii="Times New Roman" w:hAnsi="Times New Roman" w:cs="Times New Roman"/>
          <w:sz w:val="24"/>
          <w:szCs w:val="24"/>
        </w:rPr>
        <w:t>,</w:t>
      </w:r>
      <w:r w:rsidRPr="00C86801">
        <w:rPr>
          <w:rFonts w:ascii="Times New Roman" w:hAnsi="Times New Roman" w:cs="Times New Roman"/>
          <w:sz w:val="24"/>
          <w:szCs w:val="24"/>
        </w:rPr>
        <w:t xml:space="preserve"> сумма налога </w:t>
      </w:r>
      <w:r w:rsidR="00367677" w:rsidRPr="00C86801">
        <w:rPr>
          <w:rFonts w:ascii="Times New Roman" w:hAnsi="Times New Roman" w:cs="Times New Roman"/>
          <w:sz w:val="24"/>
          <w:szCs w:val="24"/>
        </w:rPr>
        <w:t xml:space="preserve">на прибыль организаций </w:t>
      </w:r>
      <w:r w:rsidRPr="00C86801">
        <w:rPr>
          <w:rFonts w:ascii="Times New Roman" w:hAnsi="Times New Roman" w:cs="Times New Roman"/>
          <w:sz w:val="24"/>
          <w:szCs w:val="24"/>
        </w:rPr>
        <w:t>в бюджет</w:t>
      </w:r>
      <w:r w:rsidR="00BF1742" w:rsidRPr="00C86801">
        <w:rPr>
          <w:rFonts w:ascii="Times New Roman" w:hAnsi="Times New Roman" w:cs="Times New Roman"/>
          <w:sz w:val="24"/>
          <w:szCs w:val="24"/>
        </w:rPr>
        <w:t>е</w:t>
      </w:r>
      <w:r w:rsidRPr="00C86801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BF1742" w:rsidRPr="00C86801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Pr="00C8680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62D7F" w:rsidRPr="00F818F1" w:rsidRDefault="00B16223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</w:t>
      </w:r>
      <w:r w:rsidR="00056C9F" w:rsidRPr="00F818F1">
        <w:rPr>
          <w:rFonts w:ascii="Times New Roman" w:hAnsi="Times New Roman" w:cs="Times New Roman"/>
          <w:sz w:val="24"/>
          <w:szCs w:val="24"/>
        </w:rPr>
        <w:t>1</w:t>
      </w:r>
      <w:r w:rsidR="00362D7F" w:rsidRPr="00F818F1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F818F1" w:rsidRPr="00F818F1">
        <w:rPr>
          <w:rFonts w:ascii="Times New Roman" w:hAnsi="Times New Roman" w:cs="Times New Roman"/>
          <w:sz w:val="24"/>
          <w:szCs w:val="24"/>
        </w:rPr>
        <w:t>71 525 552,6</w:t>
      </w:r>
      <w:r w:rsidR="00362D7F" w:rsidRPr="00F818F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362D7F" w:rsidRPr="00F818F1" w:rsidRDefault="00F818F1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2022 год – 70 099 294,2</w:t>
      </w:r>
      <w:r w:rsidR="00362D7F" w:rsidRPr="00F818F1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362D7F" w:rsidRPr="000F308A" w:rsidRDefault="00056C9F" w:rsidP="00362D7F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18F1">
        <w:rPr>
          <w:rFonts w:ascii="Times New Roman" w:hAnsi="Times New Roman" w:cs="Times New Roman"/>
          <w:sz w:val="24"/>
          <w:szCs w:val="24"/>
        </w:rPr>
        <w:t>на 2023</w:t>
      </w:r>
      <w:r w:rsidR="00B16223" w:rsidRPr="00F818F1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7661D6" w:rsidRPr="00F818F1">
        <w:rPr>
          <w:rFonts w:ascii="Times New Roman" w:hAnsi="Times New Roman" w:cs="Times New Roman"/>
          <w:sz w:val="24"/>
          <w:szCs w:val="24"/>
        </w:rPr>
        <w:t xml:space="preserve"> 72 007 629,0</w:t>
      </w:r>
      <w:r w:rsidR="00362D7F" w:rsidRPr="00F818F1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362D7F" w:rsidRPr="000F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7C" w:rsidRPr="000F308A" w:rsidRDefault="0005217C" w:rsidP="0086747C">
      <w:pPr>
        <w:pStyle w:val="Style49"/>
        <w:widowControl/>
        <w:spacing w:line="360" w:lineRule="auto"/>
        <w:ind w:firstLine="567"/>
      </w:pPr>
      <w:r w:rsidRPr="000F308A">
        <w:t xml:space="preserve">Расчёт </w:t>
      </w:r>
      <w:r w:rsidRPr="000F308A">
        <w:rPr>
          <w:i/>
        </w:rPr>
        <w:t>налога на имущество организаций</w:t>
      </w:r>
      <w:r w:rsidRPr="000F308A">
        <w:t xml:space="preserve"> осуществл</w:t>
      </w:r>
      <w:r w:rsidR="004E21DD" w:rsidRPr="000F308A">
        <w:t>ен</w:t>
      </w:r>
      <w:r w:rsidRPr="000F308A">
        <w:t xml:space="preserve"> </w:t>
      </w:r>
      <w:r w:rsidR="0034023B" w:rsidRPr="000F308A">
        <w:t>методом прямого расчёта, в котором учтены:</w:t>
      </w:r>
    </w:p>
    <w:p w:rsidR="0086747C" w:rsidRPr="000F308A" w:rsidRDefault="0005217C" w:rsidP="000521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0F308A">
        <w:t>налоговые ставки, льготы и преференции, предусмотренные главой 30 Налогового кодекса</w:t>
      </w:r>
      <w:r w:rsidR="00800851" w:rsidRPr="000F308A">
        <w:t xml:space="preserve"> Российской Федерации</w:t>
      </w:r>
      <w:r w:rsidRPr="000F308A">
        <w:t xml:space="preserve"> «Налог на имущество организаций», законом Ханты-Мансийского автономного округа – Югры от 29.11.2010 №190-оз «О налоге на имущество организаций»,</w:t>
      </w:r>
      <w:r w:rsidR="00F46CB3" w:rsidRPr="000F308A">
        <w:t xml:space="preserve"> с внесенными и планируемыми к внесению изменениями</w:t>
      </w:r>
      <w:r w:rsidRPr="000F308A">
        <w:t>;</w:t>
      </w:r>
    </w:p>
    <w:p w:rsidR="00DF6695" w:rsidRPr="000F308A" w:rsidRDefault="00D838E4" w:rsidP="00590B9D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0F308A">
        <w:rPr>
          <w:rFonts w:eastAsiaTheme="minorHAnsi"/>
          <w:lang w:eastAsia="en-US"/>
        </w:rPr>
        <w:t>динамика поступлений за предыдущие финансовые периоды и ожидаемая оценка поступлений текущего года, с учето</w:t>
      </w:r>
      <w:r w:rsidR="009D46A1" w:rsidRPr="000F308A">
        <w:rPr>
          <w:rFonts w:eastAsiaTheme="minorHAnsi"/>
          <w:lang w:eastAsia="en-US"/>
        </w:rPr>
        <w:t xml:space="preserve">м прогнозных данных </w:t>
      </w:r>
      <w:r w:rsidR="006F095A">
        <w:rPr>
          <w:rFonts w:eastAsiaTheme="minorHAnsi"/>
          <w:lang w:eastAsia="en-US"/>
        </w:rPr>
        <w:t>Федеральной налоговой с</w:t>
      </w:r>
      <w:r w:rsidR="00F818F1">
        <w:rPr>
          <w:rFonts w:eastAsiaTheme="minorHAnsi"/>
          <w:lang w:eastAsia="en-US"/>
        </w:rPr>
        <w:t>л</w:t>
      </w:r>
      <w:r w:rsidR="006F095A">
        <w:rPr>
          <w:rFonts w:eastAsiaTheme="minorHAnsi"/>
          <w:lang w:eastAsia="en-US"/>
        </w:rPr>
        <w:t>ужбы (</w:t>
      </w:r>
      <w:r w:rsidR="009D46A1" w:rsidRPr="000F308A">
        <w:rPr>
          <w:rFonts w:eastAsiaTheme="minorHAnsi"/>
          <w:lang w:eastAsia="en-US"/>
        </w:rPr>
        <w:t>Управления Ф</w:t>
      </w:r>
      <w:r w:rsidRPr="000F308A">
        <w:rPr>
          <w:rFonts w:eastAsiaTheme="minorHAnsi"/>
          <w:lang w:eastAsia="en-US"/>
        </w:rPr>
        <w:t>едеральной налоговой службы по Ханты-Мансийскому автономному округу – Югре</w:t>
      </w:r>
      <w:r w:rsidR="006F095A">
        <w:rPr>
          <w:rFonts w:eastAsiaTheme="minorHAnsi"/>
          <w:lang w:eastAsia="en-US"/>
        </w:rPr>
        <w:t>)</w:t>
      </w:r>
      <w:r w:rsidRPr="000F308A">
        <w:rPr>
          <w:rFonts w:eastAsiaTheme="minorHAnsi"/>
          <w:lang w:eastAsia="en-US"/>
        </w:rPr>
        <w:t xml:space="preserve"> на 20</w:t>
      </w:r>
      <w:r w:rsidR="005709CB" w:rsidRPr="000F308A">
        <w:rPr>
          <w:rFonts w:eastAsiaTheme="minorHAnsi"/>
          <w:lang w:eastAsia="en-US"/>
        </w:rPr>
        <w:t>2</w:t>
      </w:r>
      <w:r w:rsidR="00D51F52">
        <w:rPr>
          <w:rFonts w:eastAsiaTheme="minorHAnsi"/>
          <w:lang w:eastAsia="en-US"/>
        </w:rPr>
        <w:t>1</w:t>
      </w:r>
      <w:r w:rsidRPr="000F308A">
        <w:rPr>
          <w:rFonts w:eastAsiaTheme="minorHAnsi"/>
          <w:lang w:eastAsia="en-US"/>
        </w:rPr>
        <w:t xml:space="preserve"> – 202</w:t>
      </w:r>
      <w:r w:rsidR="00D51F52">
        <w:rPr>
          <w:rFonts w:eastAsiaTheme="minorHAnsi"/>
          <w:lang w:eastAsia="en-US"/>
        </w:rPr>
        <w:t>3</w:t>
      </w:r>
      <w:r w:rsidRPr="000F308A">
        <w:rPr>
          <w:rFonts w:eastAsiaTheme="minorHAnsi"/>
          <w:lang w:eastAsia="en-US"/>
        </w:rPr>
        <w:t xml:space="preserve"> годы;</w:t>
      </w:r>
    </w:p>
    <w:p w:rsidR="0086747C" w:rsidRPr="000F308A" w:rsidRDefault="0086747C" w:rsidP="008674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0F308A">
        <w:rPr>
          <w:rFonts w:eastAsiaTheme="minorHAnsi"/>
          <w:lang w:eastAsia="en-US"/>
        </w:rPr>
        <w:t>динамика налоговой базы по налогу (</w:t>
      </w:r>
      <w:r w:rsidRPr="000F308A">
        <w:t>налоговая отчетность</w:t>
      </w:r>
      <w:r w:rsidRPr="000F308A">
        <w:rPr>
          <w:rFonts w:eastAsiaTheme="minorHAnsi"/>
          <w:lang w:eastAsia="en-US"/>
        </w:rPr>
        <w:t xml:space="preserve"> по форме 5-НИО «О налоговой базе и структуре начислений по налогу на имущество организаций»);</w:t>
      </w:r>
    </w:p>
    <w:p w:rsidR="0086747C" w:rsidRPr="000F308A" w:rsidRDefault="0086747C" w:rsidP="0086747C">
      <w:pPr>
        <w:pStyle w:val="Style49"/>
        <w:widowControl/>
        <w:spacing w:line="360" w:lineRule="auto"/>
        <w:ind w:firstLine="567"/>
        <w:rPr>
          <w:rFonts w:eastAsiaTheme="minorHAnsi"/>
          <w:lang w:eastAsia="en-US"/>
        </w:rPr>
      </w:pPr>
      <w:r w:rsidRPr="000F308A">
        <w:rPr>
          <w:rFonts w:eastAsiaTheme="minorHAnsi"/>
          <w:lang w:eastAsia="en-US"/>
        </w:rPr>
        <w:t>динамика фактических поступлений по налогу (</w:t>
      </w:r>
      <w:r w:rsidRPr="000F308A">
        <w:t>налоговая отчетность</w:t>
      </w:r>
      <w:r w:rsidRPr="000F308A">
        <w:rPr>
          <w:rFonts w:eastAsiaTheme="minorHAnsi"/>
          <w:lang w:eastAsia="en-US"/>
        </w:rPr>
        <w:t xml:space="preserve"> по форме № 1-НМ «Начисление и поступление налогов, сборов и иных обязательных платежей в консолидированны</w:t>
      </w:r>
      <w:r w:rsidR="008F696B">
        <w:rPr>
          <w:rFonts w:eastAsiaTheme="minorHAnsi"/>
          <w:lang w:eastAsia="en-US"/>
        </w:rPr>
        <w:t>й бюджет Российской Федерации»).</w:t>
      </w:r>
    </w:p>
    <w:p w:rsidR="00293B24" w:rsidRPr="000F308A" w:rsidRDefault="00293B24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В результате сумма налога </w:t>
      </w:r>
      <w:r w:rsidR="009A1964" w:rsidRPr="000F308A">
        <w:rPr>
          <w:rFonts w:ascii="Times New Roman" w:hAnsi="Times New Roman" w:cs="Times New Roman"/>
          <w:sz w:val="24"/>
          <w:szCs w:val="24"/>
        </w:rPr>
        <w:t xml:space="preserve">на имущество организаций </w:t>
      </w:r>
      <w:r w:rsidRPr="000F308A">
        <w:rPr>
          <w:rFonts w:ascii="Times New Roman" w:hAnsi="Times New Roman" w:cs="Times New Roman"/>
          <w:sz w:val="24"/>
          <w:szCs w:val="24"/>
        </w:rPr>
        <w:t>в бюджет</w:t>
      </w:r>
      <w:r w:rsidR="00D346C2" w:rsidRPr="000F308A">
        <w:rPr>
          <w:rFonts w:ascii="Times New Roman" w:hAnsi="Times New Roman" w:cs="Times New Roman"/>
          <w:sz w:val="24"/>
          <w:szCs w:val="24"/>
        </w:rPr>
        <w:t>е</w:t>
      </w:r>
      <w:r w:rsidRPr="000F308A">
        <w:rPr>
          <w:rFonts w:ascii="Times New Roman" w:hAnsi="Times New Roman" w:cs="Times New Roman"/>
          <w:sz w:val="24"/>
          <w:szCs w:val="24"/>
        </w:rPr>
        <w:t xml:space="preserve"> автономного округа</w:t>
      </w:r>
      <w:r w:rsidR="00D346C2" w:rsidRPr="000F308A">
        <w:rPr>
          <w:rFonts w:ascii="Times New Roman" w:hAnsi="Times New Roman" w:cs="Times New Roman"/>
          <w:sz w:val="24"/>
          <w:szCs w:val="24"/>
        </w:rPr>
        <w:t xml:space="preserve"> составил</w:t>
      </w:r>
      <w:r w:rsidR="004E21DD" w:rsidRPr="000F308A">
        <w:rPr>
          <w:rFonts w:ascii="Times New Roman" w:hAnsi="Times New Roman" w:cs="Times New Roman"/>
          <w:sz w:val="24"/>
          <w:szCs w:val="24"/>
        </w:rPr>
        <w:t>а</w:t>
      </w:r>
      <w:r w:rsidRPr="000F308A">
        <w:rPr>
          <w:rFonts w:ascii="Times New Roman" w:hAnsi="Times New Roman" w:cs="Times New Roman"/>
          <w:sz w:val="24"/>
          <w:szCs w:val="24"/>
        </w:rPr>
        <w:t>:</w:t>
      </w:r>
    </w:p>
    <w:p w:rsidR="00DF6695" w:rsidRPr="00094285" w:rsidRDefault="00DF6695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t>на 20</w:t>
      </w:r>
      <w:r w:rsidR="00056C9F" w:rsidRPr="00094285">
        <w:rPr>
          <w:rFonts w:ascii="Times New Roman" w:hAnsi="Times New Roman" w:cs="Times New Roman"/>
          <w:sz w:val="24"/>
          <w:szCs w:val="24"/>
        </w:rPr>
        <w:t>21</w:t>
      </w:r>
      <w:r w:rsidRPr="00094285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0813BE" w:rsidRPr="00094285">
        <w:rPr>
          <w:rFonts w:ascii="Times New Roman" w:hAnsi="Times New Roman" w:cs="Times New Roman"/>
          <w:sz w:val="24"/>
          <w:szCs w:val="24"/>
        </w:rPr>
        <w:t>63 874 780,0</w:t>
      </w:r>
      <w:r w:rsidRPr="00094285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DF6695" w:rsidRPr="00094285" w:rsidRDefault="00056C9F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lastRenderedPageBreak/>
        <w:t>на 2022</w:t>
      </w:r>
      <w:r w:rsidR="005709CB" w:rsidRPr="00094285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0813BE" w:rsidRPr="00094285">
        <w:rPr>
          <w:rFonts w:ascii="Times New Roman" w:hAnsi="Times New Roman" w:cs="Times New Roman"/>
          <w:sz w:val="24"/>
          <w:szCs w:val="24"/>
        </w:rPr>
        <w:t>64 046 546,0</w:t>
      </w:r>
      <w:r w:rsidR="00DF6695" w:rsidRPr="0009428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F6695" w:rsidRPr="000F308A" w:rsidRDefault="000813BE" w:rsidP="00DF6695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t>на 2023 год – 64 427 236,7</w:t>
      </w:r>
      <w:r w:rsidR="00DF6695" w:rsidRPr="0009428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4023B" w:rsidRPr="000F308A" w:rsidRDefault="007B4280" w:rsidP="0034023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456460802"/>
      <w:r w:rsidRPr="000F308A">
        <w:rPr>
          <w:rFonts w:ascii="Times New Roman" w:hAnsi="Times New Roman" w:cs="Times New Roman"/>
          <w:sz w:val="24"/>
          <w:szCs w:val="24"/>
        </w:rPr>
        <w:t xml:space="preserve">Расчёт </w:t>
      </w:r>
      <w:r w:rsidRPr="000F308A">
        <w:rPr>
          <w:rFonts w:ascii="Times New Roman" w:hAnsi="Times New Roman" w:cs="Times New Roman"/>
          <w:i/>
          <w:sz w:val="24"/>
          <w:szCs w:val="24"/>
        </w:rPr>
        <w:t>налога на доходы физических лиц</w:t>
      </w:r>
      <w:r w:rsidR="004E21DD" w:rsidRPr="000F308A">
        <w:rPr>
          <w:rFonts w:ascii="Times New Roman" w:hAnsi="Times New Roman" w:cs="Times New Roman"/>
          <w:sz w:val="24"/>
          <w:szCs w:val="24"/>
        </w:rPr>
        <w:t xml:space="preserve"> осуществлен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34023B" w:rsidRPr="000F308A">
        <w:rPr>
          <w:rFonts w:ascii="Times New Roman" w:hAnsi="Times New Roman" w:cs="Times New Roman"/>
          <w:sz w:val="24"/>
          <w:szCs w:val="24"/>
        </w:rPr>
        <w:t>методом прямого расчёта, в котором учтены:</w:t>
      </w:r>
    </w:p>
    <w:p w:rsidR="001C5C47" w:rsidRPr="000F308A" w:rsidRDefault="00503378" w:rsidP="0050337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налоговые ставки, льготы и преференции, предусмотренные главой 23 Налогового кодекса </w:t>
      </w:r>
      <w:r w:rsidR="00800851" w:rsidRPr="000F308A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0F308A">
        <w:rPr>
          <w:rFonts w:ascii="Times New Roman" w:hAnsi="Times New Roman" w:cs="Times New Roman"/>
          <w:sz w:val="24"/>
          <w:szCs w:val="24"/>
        </w:rPr>
        <w:t>«Налог на доходы физических лиц»;</w:t>
      </w:r>
    </w:p>
    <w:p w:rsidR="00306BEA" w:rsidRPr="000F308A" w:rsidRDefault="00306BEA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F308A">
        <w:rPr>
          <w:rFonts w:ascii="Times New Roman" w:hAnsi="Times New Roman" w:cs="Times New Roman"/>
          <w:sz w:val="24"/>
          <w:szCs w:val="24"/>
        </w:rPr>
        <w:t>динамика поступлений текущего года в бюджет автономного округа,</w:t>
      </w:r>
      <w:r w:rsidRPr="000F308A">
        <w:rPr>
          <w:rFonts w:ascii="Times New Roman" w:hAnsi="Times New Roman" w:cs="Times New Roman"/>
          <w:sz w:val="24"/>
          <w:szCs w:val="24"/>
          <w:lang w:eastAsia="ru-RU"/>
        </w:rPr>
        <w:t xml:space="preserve"> с учётом прогнозных данных </w:t>
      </w:r>
      <w:r w:rsidR="006F095A">
        <w:rPr>
          <w:rFonts w:ascii="Times New Roman" w:hAnsi="Times New Roman" w:cs="Times New Roman"/>
          <w:sz w:val="24"/>
          <w:szCs w:val="24"/>
          <w:lang w:eastAsia="ru-RU"/>
        </w:rPr>
        <w:t>Федеральной налоговой службы (</w:t>
      </w:r>
      <w:r w:rsidR="009D46A1" w:rsidRPr="000F308A">
        <w:rPr>
          <w:rFonts w:ascii="Times New Roman" w:hAnsi="Times New Roman" w:cs="Times New Roman"/>
          <w:sz w:val="24"/>
          <w:szCs w:val="24"/>
        </w:rPr>
        <w:t>Управления Ф</w:t>
      </w:r>
      <w:r w:rsidRPr="000F308A">
        <w:rPr>
          <w:rFonts w:ascii="Times New Roman" w:hAnsi="Times New Roman" w:cs="Times New Roman"/>
          <w:sz w:val="24"/>
          <w:szCs w:val="24"/>
        </w:rPr>
        <w:t>едеральной налоговой службы по Ханты-Мансийскому автономному округу – Югре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Pr="000F308A">
        <w:rPr>
          <w:rFonts w:ascii="Times New Roman" w:hAnsi="Times New Roman" w:cs="Times New Roman"/>
          <w:sz w:val="24"/>
          <w:szCs w:val="24"/>
          <w:lang w:eastAsia="ru-RU"/>
        </w:rPr>
        <w:t>на 20</w:t>
      </w:r>
      <w:r w:rsidR="00B222A9" w:rsidRPr="000F308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2F6258" w:rsidRPr="000F308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0F308A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2F6258" w:rsidRPr="000F308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0F308A">
        <w:rPr>
          <w:rFonts w:ascii="Times New Roman" w:hAnsi="Times New Roman" w:cs="Times New Roman"/>
          <w:sz w:val="24"/>
          <w:szCs w:val="24"/>
          <w:lang w:eastAsia="ru-RU"/>
        </w:rPr>
        <w:t xml:space="preserve"> годы;</w:t>
      </w:r>
    </w:p>
    <w:p w:rsidR="00DF6695" w:rsidRPr="000F308A" w:rsidRDefault="00DF6695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динамика налоговой базы по налогу </w:t>
      </w:r>
      <w:r w:rsidR="00FB07B9" w:rsidRPr="000F308A">
        <w:rPr>
          <w:rFonts w:ascii="Times New Roman" w:hAnsi="Times New Roman" w:cs="Times New Roman"/>
          <w:sz w:val="24"/>
          <w:szCs w:val="24"/>
        </w:rPr>
        <w:t>(</w:t>
      </w:r>
      <w:r w:rsidR="006328A2" w:rsidRPr="000F308A">
        <w:rPr>
          <w:rFonts w:ascii="Times New Roman" w:hAnsi="Times New Roman" w:cs="Times New Roman"/>
          <w:sz w:val="24"/>
          <w:szCs w:val="24"/>
        </w:rPr>
        <w:t>налоговая отчетность</w:t>
      </w:r>
      <w:r w:rsidR="00FB07B9" w:rsidRPr="000F308A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Pr="000F308A">
        <w:rPr>
          <w:rFonts w:ascii="Times New Roman" w:hAnsi="Times New Roman" w:cs="Times New Roman"/>
          <w:sz w:val="24"/>
          <w:szCs w:val="24"/>
        </w:rPr>
        <w:t>№ 5-НДФЛ «Отчет о налоговой базе и структуре начислений по налогу на доходы физических лиц, удерживаемому налоговыми агентами»</w:t>
      </w:r>
      <w:r w:rsidR="00CA209B" w:rsidRPr="000F308A">
        <w:rPr>
          <w:rFonts w:ascii="Times New Roman" w:hAnsi="Times New Roman" w:cs="Times New Roman"/>
          <w:sz w:val="24"/>
          <w:szCs w:val="24"/>
        </w:rPr>
        <w:t xml:space="preserve">, </w:t>
      </w:r>
      <w:r w:rsidR="006328A2" w:rsidRPr="000F308A">
        <w:rPr>
          <w:rFonts w:ascii="Times New Roman" w:hAnsi="Times New Roman" w:cs="Times New Roman"/>
          <w:sz w:val="24"/>
          <w:szCs w:val="24"/>
        </w:rPr>
        <w:t>налоговая отчетность</w:t>
      </w:r>
      <w:r w:rsidR="00FB07B9" w:rsidRPr="000F308A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Pr="000F308A">
        <w:rPr>
          <w:rFonts w:ascii="Times New Roman" w:hAnsi="Times New Roman" w:cs="Times New Roman"/>
          <w:sz w:val="24"/>
          <w:szCs w:val="24"/>
        </w:rPr>
        <w:t>№ 7-НДФЛ «Отчёт о налоговой базе и структуре начислений по расчету сумм налога на доходы физических лиц, исчисленных и</w:t>
      </w:r>
      <w:r w:rsidR="006328A2" w:rsidRPr="000F308A">
        <w:rPr>
          <w:rFonts w:ascii="Times New Roman" w:hAnsi="Times New Roman" w:cs="Times New Roman"/>
          <w:sz w:val="24"/>
          <w:szCs w:val="24"/>
        </w:rPr>
        <w:t xml:space="preserve"> удержанных налоговым агентом»);</w:t>
      </w:r>
    </w:p>
    <w:p w:rsidR="001B4123" w:rsidRPr="000F308A" w:rsidRDefault="001B4123" w:rsidP="001B41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динамика фактических поступлений по налогу (налоговая отчетность по форме № 1-НМ «Отчет о начислении и поступлении налогов, сборов и иных обязательных платежей в бюджетную систему Российской Федерации»);</w:t>
      </w:r>
    </w:p>
    <w:p w:rsidR="001B4123" w:rsidRPr="000F308A" w:rsidRDefault="001B4123" w:rsidP="001B412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динамика налоговых вычетов по налогу (налоговая отчетность по форме 1-ДДК «Отчет о декларирован</w:t>
      </w:r>
      <w:r w:rsidR="00CA209B" w:rsidRPr="000F308A">
        <w:rPr>
          <w:rFonts w:ascii="Times New Roman" w:hAnsi="Times New Roman" w:cs="Times New Roman"/>
          <w:sz w:val="24"/>
          <w:szCs w:val="24"/>
        </w:rPr>
        <w:t>ии доходов физическими лицами»)</w:t>
      </w:r>
      <w:r w:rsidR="00B12CBD" w:rsidRPr="000F308A">
        <w:rPr>
          <w:rFonts w:ascii="Times New Roman" w:hAnsi="Times New Roman" w:cs="Times New Roman"/>
          <w:sz w:val="24"/>
          <w:szCs w:val="24"/>
        </w:rPr>
        <w:t>;</w:t>
      </w:r>
    </w:p>
    <w:bookmarkEnd w:id="1"/>
    <w:p w:rsidR="00B12CBD" w:rsidRPr="000F308A" w:rsidRDefault="00B12CBD" w:rsidP="00B12C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суммы замещения дотации на выравнивание бюджетной обеспеченности муниципальных образований дополнительными нормативами отчислений от налога на доходы физических лиц.</w:t>
      </w:r>
    </w:p>
    <w:p w:rsidR="004706F1" w:rsidRPr="000F308A" w:rsidRDefault="00F436B0" w:rsidP="0050552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В результате сумма налога на доходы физических лиц </w:t>
      </w:r>
      <w:r w:rsidR="000E4998" w:rsidRPr="000F308A">
        <w:rPr>
          <w:rFonts w:ascii="Times New Roman" w:hAnsi="Times New Roman" w:cs="Times New Roman"/>
          <w:sz w:val="24"/>
          <w:szCs w:val="24"/>
        </w:rPr>
        <w:t>в бюджете автономного округа составила:</w:t>
      </w:r>
    </w:p>
    <w:p w:rsidR="00DF6695" w:rsidRPr="00094285" w:rsidRDefault="00DF6695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t>на 20</w:t>
      </w:r>
      <w:r w:rsidR="00B222A9" w:rsidRPr="00094285">
        <w:rPr>
          <w:rFonts w:ascii="Times New Roman" w:hAnsi="Times New Roman" w:cs="Times New Roman"/>
          <w:sz w:val="24"/>
          <w:szCs w:val="24"/>
        </w:rPr>
        <w:t>2</w:t>
      </w:r>
      <w:r w:rsidR="002F6258" w:rsidRPr="00094285">
        <w:rPr>
          <w:rFonts w:ascii="Times New Roman" w:hAnsi="Times New Roman" w:cs="Times New Roman"/>
          <w:sz w:val="24"/>
          <w:szCs w:val="24"/>
        </w:rPr>
        <w:t>1</w:t>
      </w:r>
      <w:r w:rsidRPr="00094285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094285" w:rsidRPr="00094285">
        <w:rPr>
          <w:rFonts w:ascii="Times New Roman" w:hAnsi="Times New Roman" w:cs="Times New Roman"/>
          <w:sz w:val="24"/>
          <w:szCs w:val="24"/>
        </w:rPr>
        <w:t>57 227 769,8</w:t>
      </w:r>
      <w:r w:rsidRPr="0009428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DF6695" w:rsidRPr="00094285" w:rsidRDefault="002F6258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t>на 2022</w:t>
      </w:r>
      <w:r w:rsidR="00DF6695" w:rsidRPr="00094285">
        <w:rPr>
          <w:rFonts w:ascii="Times New Roman" w:hAnsi="Times New Roman" w:cs="Times New Roman"/>
          <w:sz w:val="24"/>
          <w:szCs w:val="24"/>
        </w:rPr>
        <w:t xml:space="preserve"> год –</w:t>
      </w:r>
      <w:r w:rsidR="004706F1" w:rsidRPr="00094285">
        <w:rPr>
          <w:rFonts w:ascii="Times New Roman" w:hAnsi="Times New Roman" w:cs="Times New Roman"/>
          <w:sz w:val="24"/>
          <w:szCs w:val="24"/>
        </w:rPr>
        <w:t xml:space="preserve"> </w:t>
      </w:r>
      <w:r w:rsidR="00094285" w:rsidRPr="00094285">
        <w:rPr>
          <w:rFonts w:ascii="Times New Roman" w:hAnsi="Times New Roman" w:cs="Times New Roman"/>
          <w:sz w:val="24"/>
          <w:szCs w:val="24"/>
        </w:rPr>
        <w:t>60 212 530,7</w:t>
      </w:r>
      <w:r w:rsidR="00DF6695" w:rsidRPr="00094285">
        <w:rPr>
          <w:rFonts w:ascii="Times New Roman" w:hAnsi="Times New Roman" w:cs="Times New Roman"/>
          <w:sz w:val="24"/>
          <w:szCs w:val="24"/>
        </w:rPr>
        <w:t xml:space="preserve"> тыс. рублей;</w:t>
      </w:r>
      <w:r w:rsidR="00490390" w:rsidRPr="00094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6695" w:rsidRPr="000F308A" w:rsidRDefault="002F6258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285">
        <w:rPr>
          <w:rFonts w:ascii="Times New Roman" w:hAnsi="Times New Roman" w:cs="Times New Roman"/>
          <w:sz w:val="24"/>
          <w:szCs w:val="24"/>
        </w:rPr>
        <w:t>на 2023</w:t>
      </w:r>
      <w:r w:rsidR="00502912" w:rsidRPr="00094285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094285" w:rsidRPr="00094285">
        <w:rPr>
          <w:rFonts w:ascii="Times New Roman" w:hAnsi="Times New Roman" w:cs="Times New Roman"/>
          <w:sz w:val="24"/>
          <w:szCs w:val="24"/>
        </w:rPr>
        <w:t>62 564 963,9</w:t>
      </w:r>
      <w:r w:rsidR="00DF6695" w:rsidRPr="00094285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D76E3" w:rsidRPr="000F308A" w:rsidRDefault="0090462F" w:rsidP="002B66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Расчёт </w:t>
      </w:r>
      <w:r w:rsidR="003D3FC2" w:rsidRPr="000F308A">
        <w:rPr>
          <w:rFonts w:ascii="Times New Roman" w:hAnsi="Times New Roman" w:cs="Times New Roman"/>
          <w:i/>
          <w:sz w:val="24"/>
          <w:szCs w:val="24"/>
        </w:rPr>
        <w:t>акцизов по подакцизным товарам (продукции), производимым на территории Российской Федерации</w:t>
      </w:r>
      <w:r w:rsidR="003D3FC2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730CC5">
        <w:rPr>
          <w:rFonts w:ascii="Times New Roman" w:hAnsi="Times New Roman" w:cs="Times New Roman"/>
          <w:sz w:val="24"/>
          <w:szCs w:val="24"/>
        </w:rPr>
        <w:t>осуществле</w:t>
      </w:r>
      <w:r w:rsidR="003D76E3" w:rsidRPr="000F308A">
        <w:rPr>
          <w:rFonts w:ascii="Times New Roman" w:hAnsi="Times New Roman" w:cs="Times New Roman"/>
          <w:sz w:val="24"/>
          <w:szCs w:val="24"/>
        </w:rPr>
        <w:t xml:space="preserve">н </w:t>
      </w:r>
      <w:r w:rsidRPr="000F308A">
        <w:rPr>
          <w:rFonts w:ascii="Times New Roman" w:hAnsi="Times New Roman" w:cs="Times New Roman"/>
          <w:sz w:val="24"/>
          <w:szCs w:val="24"/>
        </w:rPr>
        <w:t xml:space="preserve">главными администраторами доходов </w:t>
      </w:r>
      <w:r w:rsidR="006F095A">
        <w:rPr>
          <w:rFonts w:ascii="Times New Roman" w:hAnsi="Times New Roman" w:cs="Times New Roman"/>
          <w:sz w:val="24"/>
          <w:szCs w:val="24"/>
        </w:rPr>
        <w:t>–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F095A">
        <w:rPr>
          <w:rFonts w:ascii="Times New Roman" w:hAnsi="Times New Roman" w:cs="Times New Roman"/>
          <w:sz w:val="24"/>
          <w:szCs w:val="24"/>
        </w:rPr>
        <w:t>Федеральным казначейством (</w:t>
      </w:r>
      <w:r w:rsidRPr="000F308A">
        <w:rPr>
          <w:rFonts w:ascii="Times New Roman" w:hAnsi="Times New Roman" w:cs="Times New Roman"/>
          <w:sz w:val="24"/>
          <w:szCs w:val="24"/>
        </w:rPr>
        <w:t>Управлением Федерального казначейства по Ханты-Мансийскому автономному округу – Югре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Pr="000F308A">
        <w:rPr>
          <w:rFonts w:ascii="Times New Roman" w:hAnsi="Times New Roman" w:cs="Times New Roman"/>
          <w:sz w:val="24"/>
          <w:szCs w:val="24"/>
        </w:rPr>
        <w:t xml:space="preserve"> и </w:t>
      </w:r>
      <w:r w:rsidR="006F095A">
        <w:rPr>
          <w:rFonts w:ascii="Times New Roman" w:hAnsi="Times New Roman" w:cs="Times New Roman"/>
          <w:sz w:val="24"/>
          <w:szCs w:val="24"/>
        </w:rPr>
        <w:t>Федеральной налоговой службой (</w:t>
      </w:r>
      <w:r w:rsidRPr="000F308A">
        <w:rPr>
          <w:rFonts w:ascii="Times New Roman" w:hAnsi="Times New Roman" w:cs="Times New Roman"/>
          <w:sz w:val="24"/>
          <w:szCs w:val="24"/>
        </w:rPr>
        <w:t>Управлением Федеральной налоговой службы по Ханты-Мансийскому автономному округу – Югре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2B668C" w:rsidRPr="000F308A">
        <w:rPr>
          <w:rFonts w:ascii="Times New Roman" w:hAnsi="Times New Roman" w:cs="Times New Roman"/>
          <w:sz w:val="24"/>
          <w:szCs w:val="24"/>
        </w:rPr>
        <w:t>методом прямого расчета, в котором учтены</w:t>
      </w:r>
      <w:r w:rsidR="004E21DD" w:rsidRPr="000F308A">
        <w:rPr>
          <w:rFonts w:ascii="Times New Roman" w:hAnsi="Times New Roman" w:cs="Times New Roman"/>
          <w:sz w:val="24"/>
          <w:szCs w:val="24"/>
        </w:rPr>
        <w:t>:</w:t>
      </w:r>
    </w:p>
    <w:p w:rsidR="00C95885" w:rsidRPr="000F308A" w:rsidRDefault="00C95885" w:rsidP="002B668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объемы реализации подакцизной продукции</w:t>
      </w:r>
      <w:r w:rsidR="00EF4B61" w:rsidRPr="000F308A">
        <w:rPr>
          <w:rFonts w:ascii="Times New Roman" w:hAnsi="Times New Roman" w:cs="Times New Roman"/>
          <w:sz w:val="24"/>
          <w:szCs w:val="24"/>
        </w:rPr>
        <w:t>;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1" w:rsidRPr="000F308A" w:rsidRDefault="004E21DD" w:rsidP="00B12CF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lastRenderedPageBreak/>
        <w:t xml:space="preserve">налоговые ставки, льготы и преференции, предусмотренные </w:t>
      </w:r>
      <w:r w:rsidR="00800851" w:rsidRPr="000F308A">
        <w:rPr>
          <w:rFonts w:ascii="Times New Roman" w:hAnsi="Times New Roman" w:cs="Times New Roman"/>
          <w:sz w:val="24"/>
          <w:szCs w:val="24"/>
        </w:rPr>
        <w:t>главой 22 Налогового кодекса Российской Федерации «Акцизы»;</w:t>
      </w:r>
    </w:p>
    <w:p w:rsidR="008B532D" w:rsidRPr="000F308A" w:rsidRDefault="0048602D" w:rsidP="008B532D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динамика налоговой базы </w:t>
      </w:r>
      <w:r w:rsidR="0076617C" w:rsidRPr="000F308A">
        <w:rPr>
          <w:rFonts w:ascii="Times New Roman" w:hAnsi="Times New Roman" w:cs="Times New Roman"/>
          <w:sz w:val="24"/>
          <w:szCs w:val="24"/>
        </w:rPr>
        <w:t>и фактических поступлений</w:t>
      </w:r>
      <w:r w:rsidRPr="000F308A">
        <w:rPr>
          <w:rFonts w:ascii="Times New Roman" w:hAnsi="Times New Roman" w:cs="Times New Roman"/>
          <w:sz w:val="24"/>
          <w:szCs w:val="24"/>
        </w:rPr>
        <w:t>, сложившаяся за предыдущие периоды</w:t>
      </w:r>
      <w:r w:rsidR="0076617C" w:rsidRPr="000F308A">
        <w:rPr>
          <w:rFonts w:ascii="Times New Roman" w:hAnsi="Times New Roman" w:cs="Times New Roman"/>
          <w:sz w:val="24"/>
          <w:szCs w:val="24"/>
        </w:rPr>
        <w:t xml:space="preserve"> (отчёт по форме № 1-НМ «Отчет о начислении и поступлении налогов, сборов и иных обязательных платежей в бюджетную систему Российской Федерации»)</w:t>
      </w:r>
      <w:r w:rsidR="00A07B8D">
        <w:rPr>
          <w:rFonts w:ascii="Times New Roman" w:hAnsi="Times New Roman" w:cs="Times New Roman"/>
          <w:sz w:val="24"/>
          <w:szCs w:val="24"/>
        </w:rPr>
        <w:t>.</w:t>
      </w:r>
    </w:p>
    <w:p w:rsidR="0048602D" w:rsidRPr="000F308A" w:rsidRDefault="0076617C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В ре</w:t>
      </w:r>
      <w:r w:rsidR="0048602D" w:rsidRPr="000F308A">
        <w:rPr>
          <w:rFonts w:ascii="Times New Roman" w:hAnsi="Times New Roman" w:cs="Times New Roman"/>
          <w:sz w:val="24"/>
          <w:szCs w:val="24"/>
        </w:rPr>
        <w:t xml:space="preserve">зультате сумма </w:t>
      </w:r>
      <w:r w:rsidR="00933E82" w:rsidRPr="000F308A">
        <w:rPr>
          <w:rFonts w:ascii="Times New Roman" w:hAnsi="Times New Roman" w:cs="Times New Roman"/>
          <w:sz w:val="24"/>
          <w:szCs w:val="24"/>
        </w:rPr>
        <w:t>акцизов по подакцизным товарам (продукции)</w:t>
      </w:r>
      <w:r w:rsidR="0048602D" w:rsidRPr="000F308A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</w:t>
      </w:r>
    </w:p>
    <w:p w:rsidR="007D7429" w:rsidRPr="000F308A" w:rsidRDefault="007D7429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</w:t>
      </w:r>
      <w:r w:rsidR="007540B2" w:rsidRPr="000F308A">
        <w:rPr>
          <w:rFonts w:ascii="Times New Roman" w:hAnsi="Times New Roman" w:cs="Times New Roman"/>
          <w:sz w:val="24"/>
          <w:szCs w:val="24"/>
        </w:rPr>
        <w:t>2</w:t>
      </w:r>
      <w:r w:rsidR="002F6258" w:rsidRPr="000F308A">
        <w:rPr>
          <w:rFonts w:ascii="Times New Roman" w:hAnsi="Times New Roman" w:cs="Times New Roman"/>
          <w:sz w:val="24"/>
          <w:szCs w:val="24"/>
        </w:rPr>
        <w:t>1</w:t>
      </w:r>
      <w:r w:rsidR="007715C7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Pr="000F308A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2F6258" w:rsidRPr="000F308A">
        <w:rPr>
          <w:rFonts w:ascii="Times New Roman" w:hAnsi="Times New Roman" w:cs="Times New Roman"/>
          <w:sz w:val="24"/>
          <w:szCs w:val="24"/>
        </w:rPr>
        <w:t>9 877 149,0</w:t>
      </w:r>
      <w:r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7D7429" w:rsidRPr="000F308A" w:rsidRDefault="002F6258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2022</w:t>
      </w:r>
      <w:r w:rsidR="007D7429"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0F308A">
        <w:rPr>
          <w:rFonts w:ascii="Times New Roman" w:hAnsi="Times New Roman" w:cs="Times New Roman"/>
          <w:sz w:val="24"/>
          <w:szCs w:val="24"/>
        </w:rPr>
        <w:t>9 879 785,2</w:t>
      </w:r>
      <w:r w:rsidR="007D7429" w:rsidRPr="000F308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D7429" w:rsidRPr="000F308A" w:rsidRDefault="002F6258" w:rsidP="007D7429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2023</w:t>
      </w:r>
      <w:r w:rsidR="007D7429"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0F308A">
        <w:rPr>
          <w:rFonts w:ascii="Times New Roman" w:hAnsi="Times New Roman" w:cs="Times New Roman"/>
          <w:sz w:val="24"/>
          <w:szCs w:val="24"/>
        </w:rPr>
        <w:t>9 880 840,9</w:t>
      </w:r>
      <w:r w:rsidR="007D7429" w:rsidRPr="000F308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557D7" w:rsidRPr="000F308A" w:rsidRDefault="004105AA" w:rsidP="00F561D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Расчет </w:t>
      </w:r>
      <w:r w:rsidRPr="000F308A">
        <w:rPr>
          <w:rFonts w:ascii="Times New Roman" w:hAnsi="Times New Roman" w:cs="Times New Roman"/>
          <w:i/>
          <w:sz w:val="24"/>
          <w:szCs w:val="24"/>
        </w:rPr>
        <w:t>транспортного налога</w:t>
      </w:r>
      <w:r w:rsidRPr="000F308A">
        <w:rPr>
          <w:rFonts w:ascii="Times New Roman" w:hAnsi="Times New Roman" w:cs="Times New Roman"/>
          <w:sz w:val="24"/>
          <w:szCs w:val="24"/>
        </w:rPr>
        <w:t xml:space="preserve"> произведен методом прямого расчета</w:t>
      </w:r>
      <w:r w:rsidR="003E0E29" w:rsidRPr="000F308A">
        <w:rPr>
          <w:rFonts w:ascii="Times New Roman" w:hAnsi="Times New Roman" w:cs="Times New Roman"/>
          <w:sz w:val="24"/>
          <w:szCs w:val="24"/>
        </w:rPr>
        <w:t xml:space="preserve">, </w:t>
      </w:r>
      <w:r w:rsidR="00D61CBB" w:rsidRPr="000F308A">
        <w:rPr>
          <w:rFonts w:ascii="Times New Roman" w:hAnsi="Times New Roman" w:cs="Times New Roman"/>
          <w:sz w:val="24"/>
          <w:szCs w:val="24"/>
        </w:rPr>
        <w:t xml:space="preserve">в </w:t>
      </w:r>
      <w:r w:rsidR="003E0E29" w:rsidRPr="000F308A">
        <w:rPr>
          <w:rFonts w:ascii="Times New Roman" w:hAnsi="Times New Roman" w:cs="Times New Roman"/>
          <w:sz w:val="24"/>
          <w:szCs w:val="24"/>
        </w:rPr>
        <w:t xml:space="preserve">котором </w:t>
      </w:r>
      <w:r w:rsidR="006B7432" w:rsidRPr="000F308A">
        <w:rPr>
          <w:rFonts w:ascii="Times New Roman" w:hAnsi="Times New Roman" w:cs="Times New Roman"/>
          <w:sz w:val="24"/>
          <w:szCs w:val="24"/>
        </w:rPr>
        <w:t>учтены</w:t>
      </w:r>
      <w:r w:rsidR="003557D7" w:rsidRPr="000F308A">
        <w:rPr>
          <w:rFonts w:ascii="Times New Roman" w:hAnsi="Times New Roman" w:cs="Times New Roman"/>
          <w:sz w:val="24"/>
          <w:szCs w:val="24"/>
        </w:rPr>
        <w:t>:</w:t>
      </w:r>
    </w:p>
    <w:p w:rsidR="006B29F2" w:rsidRDefault="00D61CBB" w:rsidP="00F561D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F561D7" w:rsidRPr="000F308A">
        <w:rPr>
          <w:rFonts w:ascii="Times New Roman" w:hAnsi="Times New Roman" w:cs="Times New Roman"/>
          <w:sz w:val="24"/>
          <w:szCs w:val="24"/>
        </w:rPr>
        <w:t xml:space="preserve">налоговые ставки, льготы и преференции, предусмотренные главой </w:t>
      </w:r>
      <w:r w:rsidR="00CC6753" w:rsidRPr="000F308A">
        <w:rPr>
          <w:rFonts w:ascii="Times New Roman" w:hAnsi="Times New Roman" w:cs="Times New Roman"/>
          <w:sz w:val="24"/>
          <w:szCs w:val="24"/>
        </w:rPr>
        <w:t xml:space="preserve">28 Налогового кодекса </w:t>
      </w:r>
      <w:r w:rsidR="00414C8A" w:rsidRPr="000F308A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="00CC6753" w:rsidRPr="000F308A">
        <w:rPr>
          <w:rFonts w:ascii="Times New Roman" w:hAnsi="Times New Roman" w:cs="Times New Roman"/>
          <w:sz w:val="24"/>
          <w:szCs w:val="24"/>
        </w:rPr>
        <w:t xml:space="preserve">«Транспортный налог», </w:t>
      </w:r>
      <w:r w:rsidR="007D0A7A" w:rsidRPr="000F308A">
        <w:rPr>
          <w:rFonts w:ascii="Times New Roman" w:hAnsi="Times New Roman" w:cs="Times New Roman"/>
          <w:sz w:val="24"/>
          <w:szCs w:val="24"/>
        </w:rPr>
        <w:t>закон</w:t>
      </w:r>
      <w:r w:rsidR="00F561D7" w:rsidRPr="000F308A">
        <w:rPr>
          <w:rFonts w:ascii="Times New Roman" w:hAnsi="Times New Roman" w:cs="Times New Roman"/>
          <w:sz w:val="24"/>
          <w:szCs w:val="24"/>
        </w:rPr>
        <w:t>ом</w:t>
      </w:r>
      <w:r w:rsidR="007D0A7A" w:rsidRPr="000F308A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Югры от 14.11.2002 №62-оз «О транспо</w:t>
      </w:r>
      <w:r w:rsidR="00806B7D" w:rsidRPr="000F308A">
        <w:rPr>
          <w:rFonts w:ascii="Times New Roman" w:hAnsi="Times New Roman" w:cs="Times New Roman"/>
          <w:sz w:val="24"/>
          <w:szCs w:val="24"/>
        </w:rPr>
        <w:t xml:space="preserve">ртном налоге в Ханты-Мансийском </w:t>
      </w:r>
      <w:r w:rsidR="007D0A7A" w:rsidRPr="000F308A">
        <w:rPr>
          <w:rFonts w:ascii="Times New Roman" w:hAnsi="Times New Roman" w:cs="Times New Roman"/>
          <w:sz w:val="24"/>
          <w:szCs w:val="24"/>
        </w:rPr>
        <w:t>автономном округе</w:t>
      </w:r>
      <w:r w:rsidR="00F561D7" w:rsidRPr="000F308A">
        <w:rPr>
          <w:rFonts w:ascii="Times New Roman" w:hAnsi="Times New Roman" w:cs="Times New Roman"/>
          <w:sz w:val="24"/>
          <w:szCs w:val="24"/>
        </w:rPr>
        <w:t xml:space="preserve"> – </w:t>
      </w:r>
      <w:r w:rsidR="007D0A7A" w:rsidRPr="000F308A">
        <w:rPr>
          <w:rFonts w:ascii="Times New Roman" w:hAnsi="Times New Roman" w:cs="Times New Roman"/>
          <w:sz w:val="24"/>
          <w:szCs w:val="24"/>
        </w:rPr>
        <w:t>Югре»</w:t>
      </w:r>
      <w:r w:rsidR="00933E82" w:rsidRPr="000F308A">
        <w:rPr>
          <w:rFonts w:ascii="Times New Roman" w:hAnsi="Times New Roman" w:cs="Times New Roman"/>
          <w:sz w:val="24"/>
          <w:szCs w:val="24"/>
        </w:rPr>
        <w:t>, с внесенными и план</w:t>
      </w:r>
      <w:r w:rsidR="003557D7" w:rsidRPr="000F308A">
        <w:rPr>
          <w:rFonts w:ascii="Times New Roman" w:hAnsi="Times New Roman" w:cs="Times New Roman"/>
          <w:sz w:val="24"/>
          <w:szCs w:val="24"/>
        </w:rPr>
        <w:t>ируемыми к внесению изменениями;</w:t>
      </w:r>
    </w:p>
    <w:p w:rsidR="0045444A" w:rsidRPr="000F308A" w:rsidRDefault="0045444A" w:rsidP="0045444A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динамика налоговой базы и фактических поступлений, сложившаяся за предыдущие периоды (отчёт по форме</w:t>
      </w:r>
      <w:r w:rsidR="003831BE">
        <w:rPr>
          <w:rFonts w:ascii="Times New Roman" w:hAnsi="Times New Roman" w:cs="Times New Roman"/>
          <w:sz w:val="24"/>
          <w:szCs w:val="24"/>
        </w:rPr>
        <w:t xml:space="preserve"> </w:t>
      </w:r>
      <w:r w:rsidR="003831BE" w:rsidRPr="00DF63C1">
        <w:rPr>
          <w:rFonts w:ascii="Times New Roman" w:hAnsi="Times New Roman" w:cs="Times New Roman"/>
          <w:sz w:val="24"/>
          <w:szCs w:val="24"/>
        </w:rPr>
        <w:t>№ 5-ТН «Отчет о налоговой базе и структуре начислений по транспортному налогу», сложившаяся за предыдущие периоды</w:t>
      </w:r>
      <w:r w:rsidRPr="000F308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0A7A" w:rsidRPr="000F308A" w:rsidRDefault="000E244E" w:rsidP="00EC136A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В результате сумма </w:t>
      </w:r>
      <w:r w:rsidR="00C77804" w:rsidRPr="000F308A">
        <w:rPr>
          <w:rFonts w:ascii="Times New Roman" w:hAnsi="Times New Roman" w:cs="Times New Roman"/>
          <w:sz w:val="24"/>
          <w:szCs w:val="24"/>
        </w:rPr>
        <w:t xml:space="preserve">транспортного </w:t>
      </w:r>
      <w:r w:rsidRPr="000F308A">
        <w:rPr>
          <w:rFonts w:ascii="Times New Roman" w:hAnsi="Times New Roman" w:cs="Times New Roman"/>
          <w:sz w:val="24"/>
          <w:szCs w:val="24"/>
        </w:rPr>
        <w:t>налога в бюджете автономного округа составила:</w:t>
      </w:r>
    </w:p>
    <w:p w:rsidR="007D0A7A" w:rsidRPr="000F308A" w:rsidRDefault="007D0A7A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08A">
        <w:rPr>
          <w:rFonts w:ascii="Times New Roman" w:hAnsi="Times New Roman" w:cs="Times New Roman"/>
          <w:bCs/>
          <w:sz w:val="24"/>
          <w:szCs w:val="24"/>
        </w:rPr>
        <w:t>на 20</w:t>
      </w:r>
      <w:r w:rsidR="000F69E5" w:rsidRPr="000F308A">
        <w:rPr>
          <w:rFonts w:ascii="Times New Roman" w:hAnsi="Times New Roman" w:cs="Times New Roman"/>
          <w:bCs/>
          <w:sz w:val="24"/>
          <w:szCs w:val="24"/>
        </w:rPr>
        <w:t>21</w:t>
      </w:r>
      <w:r w:rsidRPr="000F308A">
        <w:rPr>
          <w:rFonts w:ascii="Times New Roman" w:hAnsi="Times New Roman" w:cs="Times New Roman"/>
          <w:bCs/>
          <w:sz w:val="24"/>
          <w:szCs w:val="24"/>
        </w:rPr>
        <w:t xml:space="preserve"> год – </w:t>
      </w:r>
      <w:r w:rsidR="000F69E5" w:rsidRPr="000F308A">
        <w:rPr>
          <w:rFonts w:ascii="Times New Roman" w:hAnsi="Times New Roman" w:cs="Times New Roman"/>
          <w:bCs/>
          <w:sz w:val="24"/>
          <w:szCs w:val="24"/>
        </w:rPr>
        <w:t>2 688 368,8</w:t>
      </w:r>
      <w:r w:rsidRPr="000F308A">
        <w:rPr>
          <w:rFonts w:ascii="Times New Roman" w:hAnsi="Times New Roman" w:cs="Times New Roman"/>
          <w:bCs/>
          <w:sz w:val="24"/>
          <w:szCs w:val="24"/>
        </w:rPr>
        <w:t xml:space="preserve"> тыс. рублей;</w:t>
      </w:r>
    </w:p>
    <w:p w:rsidR="007D0A7A" w:rsidRPr="000F308A" w:rsidRDefault="000F69E5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08A">
        <w:rPr>
          <w:rFonts w:ascii="Times New Roman" w:hAnsi="Times New Roman" w:cs="Times New Roman"/>
          <w:bCs/>
          <w:sz w:val="24"/>
          <w:szCs w:val="24"/>
        </w:rPr>
        <w:t>на 2022 год – 2 707 082,0</w:t>
      </w:r>
      <w:r w:rsidR="007D0A7A" w:rsidRPr="000F308A">
        <w:rPr>
          <w:rFonts w:ascii="Times New Roman" w:hAnsi="Times New Roman" w:cs="Times New Roman"/>
          <w:bCs/>
          <w:sz w:val="24"/>
          <w:szCs w:val="24"/>
        </w:rPr>
        <w:t xml:space="preserve"> тыс. рублей;</w:t>
      </w:r>
    </w:p>
    <w:p w:rsidR="007D0A7A" w:rsidRPr="000F308A" w:rsidRDefault="000F69E5" w:rsidP="007C7291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308A">
        <w:rPr>
          <w:rFonts w:ascii="Times New Roman" w:hAnsi="Times New Roman" w:cs="Times New Roman"/>
          <w:bCs/>
          <w:sz w:val="24"/>
          <w:szCs w:val="24"/>
        </w:rPr>
        <w:t>на 2023 год – 2 724 384,0</w:t>
      </w:r>
      <w:r w:rsidR="007D0A7A" w:rsidRPr="000F308A">
        <w:rPr>
          <w:rFonts w:ascii="Times New Roman" w:hAnsi="Times New Roman" w:cs="Times New Roman"/>
          <w:bCs/>
          <w:sz w:val="24"/>
          <w:szCs w:val="24"/>
        </w:rPr>
        <w:t xml:space="preserve"> тыс. рублей. </w:t>
      </w:r>
    </w:p>
    <w:p w:rsidR="007D0A7A" w:rsidRPr="00D14D63" w:rsidRDefault="003557D7" w:rsidP="00EC13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D63">
        <w:rPr>
          <w:rFonts w:ascii="Times New Roman" w:hAnsi="Times New Roman" w:cs="Times New Roman"/>
          <w:sz w:val="24"/>
          <w:szCs w:val="24"/>
        </w:rPr>
        <w:t xml:space="preserve">Темп роста </w:t>
      </w:r>
      <w:r w:rsidR="00964EDB" w:rsidRPr="00D14D63">
        <w:rPr>
          <w:rFonts w:ascii="Times New Roman" w:hAnsi="Times New Roman" w:cs="Times New Roman"/>
          <w:sz w:val="24"/>
          <w:szCs w:val="24"/>
        </w:rPr>
        <w:t>0,</w:t>
      </w:r>
      <w:r w:rsidR="000F69E5">
        <w:rPr>
          <w:rFonts w:ascii="Times New Roman" w:hAnsi="Times New Roman" w:cs="Times New Roman"/>
          <w:sz w:val="24"/>
          <w:szCs w:val="24"/>
        </w:rPr>
        <w:t>7</w:t>
      </w:r>
      <w:r w:rsidR="00964EDB" w:rsidRPr="00D14D63">
        <w:rPr>
          <w:rFonts w:ascii="Times New Roman" w:hAnsi="Times New Roman" w:cs="Times New Roman"/>
          <w:sz w:val="24"/>
          <w:szCs w:val="24"/>
        </w:rPr>
        <w:t>%</w:t>
      </w:r>
      <w:r w:rsidRPr="00D14D63">
        <w:rPr>
          <w:rFonts w:ascii="Times New Roman" w:hAnsi="Times New Roman" w:cs="Times New Roman"/>
          <w:sz w:val="24"/>
          <w:szCs w:val="24"/>
        </w:rPr>
        <w:t xml:space="preserve"> и </w:t>
      </w:r>
      <w:r w:rsidR="00964EDB" w:rsidRPr="00D14D63">
        <w:rPr>
          <w:rFonts w:ascii="Times New Roman" w:hAnsi="Times New Roman" w:cs="Times New Roman"/>
          <w:sz w:val="24"/>
          <w:szCs w:val="24"/>
        </w:rPr>
        <w:t>0</w:t>
      </w:r>
      <w:r w:rsidR="0005776A" w:rsidRPr="00D14D63">
        <w:rPr>
          <w:rFonts w:ascii="Times New Roman" w:hAnsi="Times New Roman" w:cs="Times New Roman"/>
          <w:sz w:val="24"/>
          <w:szCs w:val="24"/>
        </w:rPr>
        <w:t>,</w:t>
      </w:r>
      <w:r w:rsidR="000F69E5">
        <w:rPr>
          <w:rFonts w:ascii="Times New Roman" w:hAnsi="Times New Roman" w:cs="Times New Roman"/>
          <w:sz w:val="24"/>
          <w:szCs w:val="24"/>
        </w:rPr>
        <w:t>6</w:t>
      </w:r>
      <w:r w:rsidR="007D0A7A" w:rsidRPr="00D14D63">
        <w:rPr>
          <w:rFonts w:ascii="Times New Roman" w:hAnsi="Times New Roman" w:cs="Times New Roman"/>
          <w:sz w:val="24"/>
          <w:szCs w:val="24"/>
        </w:rPr>
        <w:t>%</w:t>
      </w:r>
      <w:r w:rsidR="00964EDB" w:rsidRPr="00D14D63">
        <w:rPr>
          <w:rFonts w:ascii="Times New Roman" w:hAnsi="Times New Roman" w:cs="Times New Roman"/>
          <w:sz w:val="24"/>
          <w:szCs w:val="24"/>
        </w:rPr>
        <w:t xml:space="preserve"> </w:t>
      </w:r>
      <w:r w:rsidR="005143E2">
        <w:rPr>
          <w:rFonts w:ascii="Times New Roman" w:hAnsi="Times New Roman" w:cs="Times New Roman"/>
          <w:sz w:val="24"/>
          <w:szCs w:val="24"/>
        </w:rPr>
        <w:t>соответственно по годам планируется обеспечить</w:t>
      </w:r>
      <w:r w:rsidR="007E50DA" w:rsidRPr="00D14D63">
        <w:rPr>
          <w:rFonts w:ascii="Times New Roman" w:hAnsi="Times New Roman" w:cs="Times New Roman"/>
          <w:sz w:val="24"/>
          <w:szCs w:val="24"/>
        </w:rPr>
        <w:t xml:space="preserve"> за счет роста налоговой базы</w:t>
      </w:r>
      <w:r w:rsidR="007D0A7A" w:rsidRPr="00D14D63">
        <w:rPr>
          <w:rFonts w:ascii="Times New Roman" w:hAnsi="Times New Roman" w:cs="Times New Roman"/>
          <w:sz w:val="24"/>
          <w:szCs w:val="24"/>
        </w:rPr>
        <w:t>.</w:t>
      </w:r>
      <w:r w:rsidR="00C771F2" w:rsidRPr="00D14D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A94" w:rsidRPr="000F308A" w:rsidRDefault="008D6AA4" w:rsidP="00421A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4D63">
        <w:rPr>
          <w:rFonts w:ascii="Times New Roman" w:hAnsi="Times New Roman" w:cs="Times New Roman"/>
          <w:sz w:val="24"/>
          <w:szCs w:val="24"/>
        </w:rPr>
        <w:t>О</w:t>
      </w:r>
      <w:r w:rsidR="003679A8" w:rsidRPr="00D14D63">
        <w:rPr>
          <w:rFonts w:ascii="Times New Roman" w:hAnsi="Times New Roman" w:cs="Times New Roman"/>
          <w:i/>
          <w:sz w:val="24"/>
          <w:szCs w:val="24"/>
        </w:rPr>
        <w:t>стальны</w:t>
      </w:r>
      <w:r w:rsidRPr="00D14D63">
        <w:rPr>
          <w:rFonts w:ascii="Times New Roman" w:hAnsi="Times New Roman" w:cs="Times New Roman"/>
          <w:i/>
          <w:sz w:val="24"/>
          <w:szCs w:val="24"/>
        </w:rPr>
        <w:t>е</w:t>
      </w:r>
      <w:r w:rsidR="003679A8" w:rsidRPr="00D14D63">
        <w:rPr>
          <w:rFonts w:ascii="Times New Roman" w:hAnsi="Times New Roman" w:cs="Times New Roman"/>
          <w:i/>
          <w:sz w:val="24"/>
          <w:szCs w:val="24"/>
        </w:rPr>
        <w:t xml:space="preserve"> налоговы</w:t>
      </w:r>
      <w:r w:rsidRPr="00D14D63">
        <w:rPr>
          <w:rFonts w:ascii="Times New Roman" w:hAnsi="Times New Roman" w:cs="Times New Roman"/>
          <w:i/>
          <w:sz w:val="24"/>
          <w:szCs w:val="24"/>
        </w:rPr>
        <w:t>е</w:t>
      </w:r>
      <w:r w:rsidR="00DF6695" w:rsidRPr="00D14D63">
        <w:rPr>
          <w:rFonts w:ascii="Times New Roman" w:hAnsi="Times New Roman" w:cs="Times New Roman"/>
          <w:i/>
          <w:sz w:val="24"/>
          <w:szCs w:val="24"/>
        </w:rPr>
        <w:t xml:space="preserve"> доход</w:t>
      </w:r>
      <w:r w:rsidRPr="00D14D63">
        <w:rPr>
          <w:rFonts w:ascii="Times New Roman" w:hAnsi="Times New Roman" w:cs="Times New Roman"/>
          <w:i/>
          <w:sz w:val="24"/>
          <w:szCs w:val="24"/>
        </w:rPr>
        <w:t>ы</w:t>
      </w:r>
      <w:r w:rsidR="006F7781" w:rsidRPr="00D14D63">
        <w:rPr>
          <w:rFonts w:ascii="Times New Roman" w:hAnsi="Times New Roman" w:cs="Times New Roman"/>
          <w:sz w:val="24"/>
          <w:szCs w:val="24"/>
        </w:rPr>
        <w:t>, к которым отне</w:t>
      </w:r>
      <w:r w:rsidR="00DF6695" w:rsidRPr="00D14D63">
        <w:rPr>
          <w:rFonts w:ascii="Times New Roman" w:hAnsi="Times New Roman" w:cs="Times New Roman"/>
          <w:sz w:val="24"/>
          <w:szCs w:val="24"/>
        </w:rPr>
        <w:t>с</w:t>
      </w:r>
      <w:r w:rsidR="006F7781" w:rsidRPr="00D14D63">
        <w:rPr>
          <w:rFonts w:ascii="Times New Roman" w:hAnsi="Times New Roman" w:cs="Times New Roman"/>
          <w:sz w:val="24"/>
          <w:szCs w:val="24"/>
        </w:rPr>
        <w:t>ены</w:t>
      </w:r>
      <w:r w:rsidR="00DF6695" w:rsidRPr="00D14D63">
        <w:rPr>
          <w:rFonts w:ascii="Times New Roman" w:hAnsi="Times New Roman" w:cs="Times New Roman"/>
          <w:sz w:val="24"/>
          <w:szCs w:val="24"/>
        </w:rPr>
        <w:t xml:space="preserve"> налог на добычу общераспространенных полезных ископаемых, </w:t>
      </w:r>
      <w:r w:rsidR="003679A8" w:rsidRPr="00D14D63">
        <w:rPr>
          <w:rFonts w:ascii="Times New Roman" w:hAnsi="Times New Roman" w:cs="Times New Roman"/>
          <w:sz w:val="24"/>
          <w:szCs w:val="24"/>
        </w:rPr>
        <w:t xml:space="preserve">государственная пошлина, </w:t>
      </w:r>
      <w:r w:rsidR="00DF6695" w:rsidRPr="00D14D63">
        <w:rPr>
          <w:rFonts w:ascii="Times New Roman" w:hAnsi="Times New Roman" w:cs="Times New Roman"/>
          <w:sz w:val="24"/>
          <w:szCs w:val="24"/>
        </w:rPr>
        <w:t xml:space="preserve">сборы за </w:t>
      </w:r>
      <w:r w:rsidR="00DF6695" w:rsidRPr="000F308A">
        <w:rPr>
          <w:rFonts w:ascii="Times New Roman" w:hAnsi="Times New Roman" w:cs="Times New Roman"/>
          <w:sz w:val="24"/>
          <w:szCs w:val="24"/>
        </w:rPr>
        <w:t>пользование объектами животного мира и за пользование объектами водных биологических ресурсов</w:t>
      </w:r>
      <w:r w:rsidR="00CB2B89">
        <w:rPr>
          <w:rFonts w:ascii="Times New Roman" w:hAnsi="Times New Roman" w:cs="Times New Roman"/>
          <w:sz w:val="24"/>
          <w:szCs w:val="24"/>
        </w:rPr>
        <w:t>,</w:t>
      </w:r>
      <w:r w:rsidR="00DF6695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3679A8" w:rsidRPr="000F308A">
        <w:rPr>
          <w:rFonts w:ascii="Times New Roman" w:hAnsi="Times New Roman" w:cs="Times New Roman"/>
          <w:sz w:val="24"/>
          <w:szCs w:val="24"/>
        </w:rPr>
        <w:t>налог на игорный</w:t>
      </w:r>
      <w:r w:rsidR="003322A0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596F37" w:rsidRPr="000F308A">
        <w:rPr>
          <w:rFonts w:ascii="Times New Roman" w:hAnsi="Times New Roman" w:cs="Times New Roman"/>
          <w:sz w:val="24"/>
          <w:szCs w:val="24"/>
        </w:rPr>
        <w:t>бизнес</w:t>
      </w:r>
      <w:r w:rsidR="00CB2B89">
        <w:rPr>
          <w:rFonts w:ascii="Times New Roman" w:hAnsi="Times New Roman" w:cs="Times New Roman"/>
          <w:sz w:val="24"/>
          <w:szCs w:val="24"/>
        </w:rPr>
        <w:t xml:space="preserve"> и</w:t>
      </w:r>
      <w:r w:rsidR="00596F37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C4AC9">
        <w:rPr>
          <w:rFonts w:ascii="Times New Roman" w:hAnsi="Times New Roman" w:cs="Times New Roman"/>
          <w:sz w:val="24"/>
          <w:szCs w:val="24"/>
        </w:rPr>
        <w:t xml:space="preserve">налог на профессиональный доход, </w:t>
      </w:r>
      <w:r w:rsidRPr="000F308A">
        <w:rPr>
          <w:rFonts w:ascii="Times New Roman" w:hAnsi="Times New Roman" w:cs="Times New Roman"/>
          <w:sz w:val="24"/>
          <w:szCs w:val="24"/>
        </w:rPr>
        <w:t xml:space="preserve">запланированы </w:t>
      </w:r>
      <w:r w:rsidR="00201001" w:rsidRPr="000F308A">
        <w:rPr>
          <w:rFonts w:ascii="Times New Roman" w:hAnsi="Times New Roman" w:cs="Times New Roman"/>
          <w:sz w:val="24"/>
          <w:szCs w:val="24"/>
        </w:rPr>
        <w:t>с</w:t>
      </w:r>
      <w:r w:rsidR="00691C3D" w:rsidRPr="000F308A">
        <w:rPr>
          <w:rFonts w:ascii="Times New Roman" w:hAnsi="Times New Roman" w:cs="Times New Roman"/>
          <w:sz w:val="24"/>
          <w:szCs w:val="24"/>
        </w:rPr>
        <w:t>о</w:t>
      </w:r>
      <w:r w:rsidR="00201001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91C3D" w:rsidRPr="000F308A">
        <w:rPr>
          <w:rFonts w:ascii="Times New Roman" w:hAnsi="Times New Roman" w:cs="Times New Roman"/>
          <w:sz w:val="24"/>
          <w:szCs w:val="24"/>
        </w:rPr>
        <w:t>снижением</w:t>
      </w:r>
      <w:r w:rsidR="00201001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Pr="000F308A">
        <w:rPr>
          <w:rFonts w:ascii="Times New Roman" w:hAnsi="Times New Roman" w:cs="Times New Roman"/>
          <w:sz w:val="24"/>
          <w:szCs w:val="24"/>
        </w:rPr>
        <w:t>в 202</w:t>
      </w:r>
      <w:r w:rsidR="003C5AFE" w:rsidRPr="000F308A">
        <w:rPr>
          <w:rFonts w:ascii="Times New Roman" w:hAnsi="Times New Roman" w:cs="Times New Roman"/>
          <w:sz w:val="24"/>
          <w:szCs w:val="24"/>
        </w:rPr>
        <w:t>2</w:t>
      </w:r>
      <w:r w:rsidRPr="000F308A">
        <w:rPr>
          <w:rFonts w:ascii="Times New Roman" w:hAnsi="Times New Roman" w:cs="Times New Roman"/>
          <w:sz w:val="24"/>
          <w:szCs w:val="24"/>
        </w:rPr>
        <w:t xml:space="preserve"> году</w:t>
      </w:r>
      <w:r w:rsidR="00A605B9" w:rsidRPr="000F308A">
        <w:rPr>
          <w:rFonts w:ascii="Times New Roman" w:hAnsi="Times New Roman" w:cs="Times New Roman"/>
          <w:sz w:val="24"/>
          <w:szCs w:val="24"/>
        </w:rPr>
        <w:t xml:space="preserve"> к 202</w:t>
      </w:r>
      <w:r w:rsidR="003C5AFE" w:rsidRPr="000F308A">
        <w:rPr>
          <w:rFonts w:ascii="Times New Roman" w:hAnsi="Times New Roman" w:cs="Times New Roman"/>
          <w:sz w:val="24"/>
          <w:szCs w:val="24"/>
        </w:rPr>
        <w:t>1</w:t>
      </w:r>
      <w:r w:rsidR="00A605B9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A605B9" w:rsidRPr="006C4AC9">
        <w:rPr>
          <w:rFonts w:ascii="Times New Roman" w:hAnsi="Times New Roman" w:cs="Times New Roman"/>
          <w:sz w:val="24"/>
          <w:szCs w:val="24"/>
        </w:rPr>
        <w:t xml:space="preserve">году на </w:t>
      </w:r>
      <w:r w:rsidR="00094285">
        <w:rPr>
          <w:rFonts w:ascii="Times New Roman" w:hAnsi="Times New Roman" w:cs="Times New Roman"/>
          <w:sz w:val="24"/>
          <w:szCs w:val="24"/>
        </w:rPr>
        <w:t>1,1</w:t>
      </w:r>
      <w:r w:rsidRPr="006C4AC9">
        <w:rPr>
          <w:rFonts w:ascii="Times New Roman" w:hAnsi="Times New Roman" w:cs="Times New Roman"/>
          <w:sz w:val="24"/>
          <w:szCs w:val="24"/>
        </w:rPr>
        <w:t>%,</w:t>
      </w:r>
      <w:r w:rsidR="005C2F72" w:rsidRPr="006C4AC9">
        <w:rPr>
          <w:rFonts w:ascii="Times New Roman" w:hAnsi="Times New Roman" w:cs="Times New Roman"/>
          <w:sz w:val="24"/>
          <w:szCs w:val="24"/>
        </w:rPr>
        <w:t xml:space="preserve"> </w:t>
      </w:r>
      <w:r w:rsidR="003557D7" w:rsidRPr="006C4AC9">
        <w:rPr>
          <w:rFonts w:ascii="Times New Roman" w:hAnsi="Times New Roman" w:cs="Times New Roman"/>
          <w:sz w:val="24"/>
          <w:szCs w:val="24"/>
        </w:rPr>
        <w:t>в 202</w:t>
      </w:r>
      <w:r w:rsidR="003C5AFE" w:rsidRPr="006C4AC9">
        <w:rPr>
          <w:rFonts w:ascii="Times New Roman" w:hAnsi="Times New Roman" w:cs="Times New Roman"/>
          <w:sz w:val="24"/>
          <w:szCs w:val="24"/>
        </w:rPr>
        <w:t>3</w:t>
      </w:r>
      <w:r w:rsidRPr="006C4AC9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605B9" w:rsidRPr="006C4AC9">
        <w:rPr>
          <w:rFonts w:ascii="Times New Roman" w:hAnsi="Times New Roman" w:cs="Times New Roman"/>
          <w:sz w:val="24"/>
          <w:szCs w:val="24"/>
        </w:rPr>
        <w:t>к 202</w:t>
      </w:r>
      <w:r w:rsidR="003C5AFE" w:rsidRPr="006C4AC9">
        <w:rPr>
          <w:rFonts w:ascii="Times New Roman" w:hAnsi="Times New Roman" w:cs="Times New Roman"/>
          <w:sz w:val="24"/>
          <w:szCs w:val="24"/>
        </w:rPr>
        <w:t>2</w:t>
      </w:r>
      <w:r w:rsidR="00A605B9" w:rsidRPr="006C4AC9">
        <w:rPr>
          <w:rFonts w:ascii="Times New Roman" w:hAnsi="Times New Roman" w:cs="Times New Roman"/>
          <w:sz w:val="24"/>
          <w:szCs w:val="24"/>
        </w:rPr>
        <w:t xml:space="preserve"> году с </w:t>
      </w:r>
      <w:r w:rsidR="00691C3D" w:rsidRPr="006C4AC9">
        <w:rPr>
          <w:rFonts w:ascii="Times New Roman" w:hAnsi="Times New Roman" w:cs="Times New Roman"/>
          <w:sz w:val="24"/>
          <w:szCs w:val="24"/>
        </w:rPr>
        <w:t>ростом</w:t>
      </w:r>
      <w:r w:rsidR="00A605B9" w:rsidRPr="006C4AC9">
        <w:rPr>
          <w:rFonts w:ascii="Times New Roman" w:hAnsi="Times New Roman" w:cs="Times New Roman"/>
          <w:sz w:val="24"/>
          <w:szCs w:val="24"/>
        </w:rPr>
        <w:t xml:space="preserve"> </w:t>
      </w:r>
      <w:r w:rsidR="003557D7" w:rsidRPr="006C4AC9">
        <w:rPr>
          <w:rFonts w:ascii="Times New Roman" w:hAnsi="Times New Roman" w:cs="Times New Roman"/>
          <w:sz w:val="24"/>
          <w:szCs w:val="24"/>
        </w:rPr>
        <w:t xml:space="preserve">на </w:t>
      </w:r>
      <w:r w:rsidR="005C2F72" w:rsidRPr="006C4AC9">
        <w:rPr>
          <w:rFonts w:ascii="Times New Roman" w:hAnsi="Times New Roman" w:cs="Times New Roman"/>
          <w:sz w:val="24"/>
          <w:szCs w:val="24"/>
        </w:rPr>
        <w:t>1,1</w:t>
      </w:r>
      <w:r w:rsidRPr="006C4AC9">
        <w:rPr>
          <w:rFonts w:ascii="Times New Roman" w:hAnsi="Times New Roman" w:cs="Times New Roman"/>
          <w:sz w:val="24"/>
          <w:szCs w:val="24"/>
        </w:rPr>
        <w:t>%</w:t>
      </w:r>
      <w:r w:rsidR="003557D7" w:rsidRPr="006C4AC9">
        <w:rPr>
          <w:rFonts w:ascii="Times New Roman" w:hAnsi="Times New Roman" w:cs="Times New Roman"/>
          <w:sz w:val="24"/>
          <w:szCs w:val="24"/>
        </w:rPr>
        <w:t xml:space="preserve">, за счет </w:t>
      </w:r>
      <w:r w:rsidR="005F1BC7" w:rsidRPr="006C4AC9">
        <w:rPr>
          <w:rFonts w:ascii="Times New Roman" w:hAnsi="Times New Roman" w:cs="Times New Roman"/>
          <w:sz w:val="24"/>
          <w:szCs w:val="24"/>
        </w:rPr>
        <w:t>динамики</w:t>
      </w:r>
      <w:r w:rsidR="00D14D63" w:rsidRPr="006C4AC9">
        <w:rPr>
          <w:rFonts w:ascii="Times New Roman" w:hAnsi="Times New Roman" w:cs="Times New Roman"/>
          <w:sz w:val="24"/>
          <w:szCs w:val="24"/>
        </w:rPr>
        <w:t xml:space="preserve"> </w:t>
      </w:r>
      <w:r w:rsidR="003A6068" w:rsidRPr="006C4AC9">
        <w:rPr>
          <w:rFonts w:ascii="Times New Roman" w:hAnsi="Times New Roman" w:cs="Times New Roman"/>
          <w:sz w:val="24"/>
          <w:szCs w:val="24"/>
        </w:rPr>
        <w:t xml:space="preserve">поступлений </w:t>
      </w:r>
      <w:r w:rsidR="00364B3B" w:rsidRPr="006C4AC9">
        <w:rPr>
          <w:rFonts w:ascii="Times New Roman" w:hAnsi="Times New Roman" w:cs="Times New Roman"/>
          <w:sz w:val="24"/>
          <w:szCs w:val="24"/>
        </w:rPr>
        <w:t>п</w:t>
      </w:r>
      <w:r w:rsidR="003A6068" w:rsidRPr="006C4AC9">
        <w:rPr>
          <w:rFonts w:ascii="Times New Roman" w:hAnsi="Times New Roman" w:cs="Times New Roman"/>
          <w:sz w:val="24"/>
          <w:szCs w:val="24"/>
        </w:rPr>
        <w:t xml:space="preserve">о государственной </w:t>
      </w:r>
      <w:r w:rsidR="003A6068" w:rsidRPr="000F308A">
        <w:rPr>
          <w:rFonts w:ascii="Times New Roman" w:hAnsi="Times New Roman" w:cs="Times New Roman"/>
          <w:sz w:val="24"/>
          <w:szCs w:val="24"/>
        </w:rPr>
        <w:t>пошлине</w:t>
      </w:r>
      <w:r w:rsidR="00D14D63" w:rsidRPr="000F308A">
        <w:rPr>
          <w:rFonts w:ascii="Times New Roman" w:hAnsi="Times New Roman" w:cs="Times New Roman"/>
          <w:sz w:val="24"/>
          <w:szCs w:val="24"/>
        </w:rPr>
        <w:t xml:space="preserve"> за регистрационные действия</w:t>
      </w:r>
      <w:r w:rsidRPr="000F308A">
        <w:rPr>
          <w:rFonts w:ascii="Times New Roman" w:hAnsi="Times New Roman" w:cs="Times New Roman"/>
          <w:sz w:val="24"/>
          <w:szCs w:val="24"/>
        </w:rPr>
        <w:t xml:space="preserve">. </w:t>
      </w:r>
      <w:r w:rsidR="00421A94" w:rsidRPr="000F308A">
        <w:rPr>
          <w:rFonts w:ascii="Times New Roman" w:hAnsi="Times New Roman" w:cs="Times New Roman"/>
          <w:sz w:val="24"/>
          <w:szCs w:val="24"/>
        </w:rPr>
        <w:t xml:space="preserve">Расчет прогноза поступлений государственной пошлины выполнен главными администраторами доходов бюджета на основе ставок государственной пошлины по видам пошлин и прогнозируемого количества соответствующих юридически значимых действий. </w:t>
      </w:r>
    </w:p>
    <w:p w:rsidR="000A765D" w:rsidRPr="00C86801" w:rsidRDefault="006A6F98" w:rsidP="00B77BD3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Состав и динамика</w:t>
      </w:r>
      <w:r w:rsidR="00E424B0">
        <w:rPr>
          <w:rFonts w:ascii="Times New Roman" w:hAnsi="Times New Roman" w:cs="Times New Roman"/>
          <w:sz w:val="24"/>
          <w:szCs w:val="24"/>
        </w:rPr>
        <w:t xml:space="preserve"> неналоговых доходов приведены</w:t>
      </w:r>
      <w:r w:rsidR="00B77BD3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7A28AE">
        <w:rPr>
          <w:rFonts w:ascii="Times New Roman" w:hAnsi="Times New Roman" w:cs="Times New Roman"/>
          <w:sz w:val="24"/>
          <w:szCs w:val="24"/>
        </w:rPr>
        <w:t>в таблице</w:t>
      </w:r>
      <w:r w:rsidR="00B77BD3"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2C6CB9">
        <w:rPr>
          <w:rFonts w:ascii="Times New Roman" w:hAnsi="Times New Roman" w:cs="Times New Roman"/>
          <w:sz w:val="24"/>
          <w:szCs w:val="24"/>
        </w:rPr>
        <w:t>5</w:t>
      </w:r>
      <w:r w:rsidR="00B77BD3" w:rsidRPr="00C86801">
        <w:rPr>
          <w:rFonts w:ascii="Times New Roman" w:hAnsi="Times New Roman" w:cs="Times New Roman"/>
          <w:sz w:val="24"/>
          <w:szCs w:val="24"/>
        </w:rPr>
        <w:t>.</w:t>
      </w:r>
    </w:p>
    <w:p w:rsidR="00B77BD3" w:rsidRPr="00C86801" w:rsidRDefault="007A28AE" w:rsidP="00B77BD3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2C6CB9">
        <w:rPr>
          <w:rFonts w:ascii="Times New Roman" w:hAnsi="Times New Roman" w:cs="Times New Roman"/>
          <w:sz w:val="24"/>
          <w:szCs w:val="24"/>
        </w:rPr>
        <w:t>5</w:t>
      </w:r>
    </w:p>
    <w:p w:rsidR="00B77BD3" w:rsidRPr="008A7DD7" w:rsidRDefault="006A112A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 xml:space="preserve">Состав и </w:t>
      </w:r>
      <w:r w:rsidR="00943629" w:rsidRPr="008A7DD7">
        <w:rPr>
          <w:rFonts w:ascii="Times New Roman" w:hAnsi="Times New Roman" w:cs="Times New Roman"/>
          <w:sz w:val="24"/>
          <w:szCs w:val="24"/>
        </w:rPr>
        <w:t>динамик</w:t>
      </w:r>
      <w:r w:rsidR="00B77BD3" w:rsidRPr="008A7DD7">
        <w:rPr>
          <w:rFonts w:ascii="Times New Roman" w:hAnsi="Times New Roman" w:cs="Times New Roman"/>
          <w:sz w:val="24"/>
          <w:szCs w:val="24"/>
        </w:rPr>
        <w:t>а неналоговых доходов</w:t>
      </w:r>
    </w:p>
    <w:p w:rsidR="00B77BD3" w:rsidRPr="008A7DD7" w:rsidRDefault="00B77BD3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бюджета Ханты-Мансийского автономного округа – Югры</w:t>
      </w:r>
    </w:p>
    <w:p w:rsidR="00B77BD3" w:rsidRDefault="00B77BD3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DD7">
        <w:rPr>
          <w:rFonts w:ascii="Times New Roman" w:hAnsi="Times New Roman" w:cs="Times New Roman"/>
          <w:sz w:val="24"/>
          <w:szCs w:val="24"/>
        </w:rPr>
        <w:t>на 20</w:t>
      </w:r>
      <w:r w:rsidR="009E3168">
        <w:rPr>
          <w:rFonts w:ascii="Times New Roman" w:hAnsi="Times New Roman" w:cs="Times New Roman"/>
          <w:sz w:val="24"/>
          <w:szCs w:val="24"/>
        </w:rPr>
        <w:t>20</w:t>
      </w:r>
      <w:r w:rsidRPr="008A7DD7">
        <w:rPr>
          <w:rFonts w:ascii="Times New Roman" w:hAnsi="Times New Roman" w:cs="Times New Roman"/>
          <w:sz w:val="24"/>
          <w:szCs w:val="24"/>
        </w:rPr>
        <w:t>-202</w:t>
      </w:r>
      <w:r w:rsidR="009E3168">
        <w:rPr>
          <w:rFonts w:ascii="Times New Roman" w:hAnsi="Times New Roman" w:cs="Times New Roman"/>
          <w:sz w:val="24"/>
          <w:szCs w:val="24"/>
        </w:rPr>
        <w:t>3</w:t>
      </w:r>
      <w:r w:rsidRPr="008A7DD7">
        <w:rPr>
          <w:rFonts w:ascii="Times New Roman" w:hAnsi="Times New Roman" w:cs="Times New Roman"/>
          <w:sz w:val="24"/>
          <w:szCs w:val="24"/>
        </w:rPr>
        <w:t xml:space="preserve"> годы</w:t>
      </w:r>
      <w:r w:rsidR="00D61CBB" w:rsidRPr="008A7DD7">
        <w:rPr>
          <w:rFonts w:ascii="Times New Roman" w:hAnsi="Times New Roman" w:cs="Times New Roman"/>
          <w:sz w:val="24"/>
          <w:szCs w:val="24"/>
        </w:rPr>
        <w:t xml:space="preserve">, </w:t>
      </w:r>
      <w:r w:rsidR="00D47E5F" w:rsidRPr="008A7DD7">
        <w:rPr>
          <w:rFonts w:ascii="Times New Roman" w:hAnsi="Times New Roman" w:cs="Times New Roman"/>
          <w:sz w:val="24"/>
          <w:szCs w:val="24"/>
        </w:rPr>
        <w:t>тыс. рублей</w:t>
      </w:r>
    </w:p>
    <w:p w:rsidR="00893C47" w:rsidRDefault="00893C47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07" w:type="dxa"/>
        <w:tblLayout w:type="fixed"/>
        <w:tblLook w:val="04A0" w:firstRow="1" w:lastRow="0" w:firstColumn="1" w:lastColumn="0" w:noHBand="0" w:noVBand="1"/>
      </w:tblPr>
      <w:tblGrid>
        <w:gridCol w:w="2660"/>
        <w:gridCol w:w="992"/>
        <w:gridCol w:w="993"/>
        <w:gridCol w:w="993"/>
        <w:gridCol w:w="992"/>
        <w:gridCol w:w="992"/>
        <w:gridCol w:w="992"/>
        <w:gridCol w:w="993"/>
      </w:tblGrid>
      <w:tr w:rsidR="00893C47" w:rsidTr="00A700C2">
        <w:trPr>
          <w:trHeight w:val="176"/>
        </w:trPr>
        <w:tc>
          <w:tcPr>
            <w:tcW w:w="2660" w:type="dxa"/>
            <w:vMerge w:val="restart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Вид дохода</w:t>
            </w:r>
          </w:p>
        </w:tc>
        <w:tc>
          <w:tcPr>
            <w:tcW w:w="992" w:type="dxa"/>
            <w:vMerge w:val="restart"/>
            <w:vAlign w:val="center"/>
          </w:tcPr>
          <w:p w:rsidR="00893C47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 xml:space="preserve">2020 год (Закон </w:t>
            </w:r>
          </w:p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№24-оз)</w:t>
            </w:r>
          </w:p>
        </w:tc>
        <w:tc>
          <w:tcPr>
            <w:tcW w:w="5955" w:type="dxa"/>
            <w:gridSpan w:val="6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Проект</w:t>
            </w:r>
          </w:p>
        </w:tc>
      </w:tr>
      <w:tr w:rsidR="00893C47" w:rsidTr="00A700C2">
        <w:tc>
          <w:tcPr>
            <w:tcW w:w="2660" w:type="dxa"/>
            <w:vMerge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6" w:type="dxa"/>
            <w:gridSpan w:val="2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984" w:type="dxa"/>
            <w:gridSpan w:val="2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985" w:type="dxa"/>
            <w:gridSpan w:val="2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893C47" w:rsidTr="00A700C2">
        <w:tc>
          <w:tcPr>
            <w:tcW w:w="2660" w:type="dxa"/>
            <w:vMerge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93C47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93C47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  <w:tc>
          <w:tcPr>
            <w:tcW w:w="992" w:type="dxa"/>
            <w:vAlign w:val="center"/>
          </w:tcPr>
          <w:p w:rsidR="00893C47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  <w:tc>
          <w:tcPr>
            <w:tcW w:w="992" w:type="dxa"/>
            <w:vAlign w:val="center"/>
          </w:tcPr>
          <w:p w:rsidR="00893C47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Сумма, </w:t>
            </w:r>
          </w:p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93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Темп роста, %</w:t>
            </w:r>
          </w:p>
        </w:tc>
      </w:tr>
      <w:tr w:rsidR="00893C47" w:rsidTr="00A700C2">
        <w:tc>
          <w:tcPr>
            <w:tcW w:w="2660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893C47" w:rsidTr="00A700C2">
        <w:tc>
          <w:tcPr>
            <w:tcW w:w="2660" w:type="dxa"/>
            <w:vAlign w:val="center"/>
          </w:tcPr>
          <w:p w:rsidR="00893C47" w:rsidRPr="00FA707E" w:rsidRDefault="00893C47" w:rsidP="007661D6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707E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ен</w:t>
            </w:r>
            <w:r w:rsidRPr="00FA707E">
              <w:rPr>
                <w:rFonts w:ascii="Times New Roman" w:hAnsi="Times New Roman" w:cs="Times New Roman"/>
                <w:b/>
                <w:sz w:val="18"/>
                <w:szCs w:val="18"/>
              </w:rPr>
              <w:t>алоговые доходы, всего</w:t>
            </w:r>
          </w:p>
        </w:tc>
        <w:tc>
          <w:tcPr>
            <w:tcW w:w="992" w:type="dxa"/>
            <w:vAlign w:val="center"/>
          </w:tcPr>
          <w:p w:rsidR="00893C47" w:rsidRPr="00A700C2" w:rsidRDefault="00A700C2" w:rsidP="00A700C2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2 903 777,4</w:t>
            </w:r>
          </w:p>
        </w:tc>
        <w:tc>
          <w:tcPr>
            <w:tcW w:w="993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3 10</w:t>
            </w:r>
            <w:r w:rsidR="00A700C2">
              <w:rPr>
                <w:rFonts w:ascii="Times New Roman" w:hAnsi="Times New Roman" w:cs="Times New Roman"/>
                <w:b/>
                <w:sz w:val="16"/>
                <w:szCs w:val="16"/>
              </w:rPr>
              <w:t>6 487,0</w:t>
            </w:r>
          </w:p>
        </w:tc>
        <w:tc>
          <w:tcPr>
            <w:tcW w:w="993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107,0</w:t>
            </w:r>
          </w:p>
        </w:tc>
        <w:tc>
          <w:tcPr>
            <w:tcW w:w="992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3 07</w:t>
            </w:r>
            <w:r w:rsidR="00A700C2">
              <w:rPr>
                <w:rFonts w:ascii="Times New Roman" w:hAnsi="Times New Roman" w:cs="Times New Roman"/>
                <w:b/>
                <w:sz w:val="16"/>
                <w:szCs w:val="16"/>
              </w:rPr>
              <w:t>4 493,2</w:t>
            </w:r>
          </w:p>
        </w:tc>
        <w:tc>
          <w:tcPr>
            <w:tcW w:w="992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99,0</w:t>
            </w:r>
          </w:p>
        </w:tc>
        <w:tc>
          <w:tcPr>
            <w:tcW w:w="992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3 09</w:t>
            </w:r>
            <w:r w:rsidR="00A700C2">
              <w:rPr>
                <w:rFonts w:ascii="Times New Roman" w:hAnsi="Times New Roman" w:cs="Times New Roman"/>
                <w:b/>
                <w:sz w:val="16"/>
                <w:szCs w:val="16"/>
              </w:rPr>
              <w:t>7 787,8</w:t>
            </w:r>
          </w:p>
        </w:tc>
        <w:tc>
          <w:tcPr>
            <w:tcW w:w="993" w:type="dxa"/>
            <w:vAlign w:val="center"/>
          </w:tcPr>
          <w:p w:rsidR="00893C47" w:rsidRPr="00FA707E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100,8</w:t>
            </w:r>
          </w:p>
        </w:tc>
      </w:tr>
      <w:tr w:rsidR="00A700C2" w:rsidTr="00A700C2">
        <w:tc>
          <w:tcPr>
            <w:tcW w:w="2660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93C47">
              <w:rPr>
                <w:rFonts w:ascii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92" w:type="dxa"/>
            <w:vAlign w:val="center"/>
          </w:tcPr>
          <w:p w:rsidR="00A700C2" w:rsidRPr="00A700C2" w:rsidRDefault="00A700C2" w:rsidP="00A700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00C2">
              <w:rPr>
                <w:rFonts w:ascii="Times New Roman" w:hAnsi="Times New Roman" w:cs="Times New Roman"/>
                <w:sz w:val="16"/>
                <w:szCs w:val="16"/>
              </w:rPr>
              <w:t>1 881 426,5</w:t>
            </w:r>
          </w:p>
        </w:tc>
        <w:tc>
          <w:tcPr>
            <w:tcW w:w="993" w:type="dxa"/>
            <w:vAlign w:val="center"/>
          </w:tcPr>
          <w:p w:rsidR="00A700C2" w:rsidRPr="00A562E9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2 08</w:t>
            </w:r>
            <w:r w:rsidR="00A700C2">
              <w:rPr>
                <w:rFonts w:ascii="Times New Roman" w:hAnsi="Times New Roman" w:cs="Times New Roman"/>
                <w:sz w:val="16"/>
                <w:szCs w:val="16"/>
              </w:rPr>
              <w:t>9 671,1</w:t>
            </w:r>
          </w:p>
        </w:tc>
        <w:tc>
          <w:tcPr>
            <w:tcW w:w="993" w:type="dxa"/>
            <w:vAlign w:val="center"/>
          </w:tcPr>
          <w:p w:rsidR="00A700C2" w:rsidRPr="00A562E9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111,1</w:t>
            </w:r>
          </w:p>
        </w:tc>
        <w:tc>
          <w:tcPr>
            <w:tcW w:w="992" w:type="dxa"/>
            <w:vAlign w:val="center"/>
          </w:tcPr>
          <w:p w:rsidR="00A700C2" w:rsidRPr="00A562E9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2 12</w:t>
            </w:r>
            <w:r w:rsidR="00A700C2">
              <w:rPr>
                <w:rFonts w:ascii="Times New Roman" w:hAnsi="Times New Roman" w:cs="Times New Roman"/>
                <w:sz w:val="16"/>
                <w:szCs w:val="16"/>
              </w:rPr>
              <w:t>9 025,9</w:t>
            </w:r>
          </w:p>
        </w:tc>
        <w:tc>
          <w:tcPr>
            <w:tcW w:w="992" w:type="dxa"/>
            <w:vAlign w:val="center"/>
          </w:tcPr>
          <w:p w:rsidR="00A700C2" w:rsidRPr="00A562E9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101,9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0B5448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2 1</w:t>
            </w:r>
            <w:r w:rsidR="000B544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0 782,0</w:t>
            </w:r>
          </w:p>
        </w:tc>
        <w:tc>
          <w:tcPr>
            <w:tcW w:w="993" w:type="dxa"/>
            <w:vAlign w:val="center"/>
          </w:tcPr>
          <w:p w:rsidR="00A700C2" w:rsidRPr="00A562E9" w:rsidRDefault="000B5448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102,0</w:t>
            </w:r>
          </w:p>
        </w:tc>
      </w:tr>
      <w:tr w:rsidR="00A700C2" w:rsidTr="00A700C2">
        <w:tc>
          <w:tcPr>
            <w:tcW w:w="2660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93C47">
              <w:rPr>
                <w:rFonts w:ascii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vAlign w:val="center"/>
          </w:tcPr>
          <w:p w:rsidR="00A700C2" w:rsidRPr="00A700C2" w:rsidRDefault="00A700C2" w:rsidP="00A700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00C2">
              <w:rPr>
                <w:rFonts w:ascii="Times New Roman" w:hAnsi="Times New Roman" w:cs="Times New Roman"/>
                <w:sz w:val="16"/>
                <w:szCs w:val="16"/>
              </w:rPr>
              <w:t>594 362,7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424 532,0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420 927,0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99,2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402 050,4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95,5</w:t>
            </w:r>
          </w:p>
        </w:tc>
      </w:tr>
      <w:tr w:rsidR="00A700C2" w:rsidTr="00A700C2">
        <w:tc>
          <w:tcPr>
            <w:tcW w:w="2660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893C47">
              <w:rPr>
                <w:rFonts w:ascii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vAlign w:val="center"/>
          </w:tcPr>
          <w:p w:rsidR="00A700C2" w:rsidRPr="00A700C2" w:rsidRDefault="00A700C2" w:rsidP="00A700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00C2">
              <w:rPr>
                <w:rFonts w:ascii="Times New Roman" w:hAnsi="Times New Roman" w:cs="Times New Roman"/>
                <w:sz w:val="16"/>
                <w:szCs w:val="16"/>
              </w:rPr>
              <w:t>267 416,2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315 898,8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118,1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327 877,7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103,8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328 065,2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</w:tr>
      <w:tr w:rsidR="00A700C2" w:rsidTr="00A700C2">
        <w:tc>
          <w:tcPr>
            <w:tcW w:w="2660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Остальные неналоговые доходы</w:t>
            </w:r>
          </w:p>
        </w:tc>
        <w:tc>
          <w:tcPr>
            <w:tcW w:w="992" w:type="dxa"/>
            <w:vAlign w:val="center"/>
          </w:tcPr>
          <w:p w:rsidR="00A700C2" w:rsidRPr="00A700C2" w:rsidRDefault="00A700C2" w:rsidP="00A700C2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700C2">
              <w:rPr>
                <w:rFonts w:ascii="Times New Roman" w:hAnsi="Times New Roman" w:cs="Times New Roman"/>
                <w:sz w:val="16"/>
                <w:szCs w:val="16"/>
              </w:rPr>
              <w:t>160 572,0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276 385,1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172,1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196 662,6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71,2</w:t>
            </w:r>
          </w:p>
        </w:tc>
        <w:tc>
          <w:tcPr>
            <w:tcW w:w="992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196 890,2</w:t>
            </w:r>
          </w:p>
        </w:tc>
        <w:tc>
          <w:tcPr>
            <w:tcW w:w="993" w:type="dxa"/>
            <w:vAlign w:val="center"/>
          </w:tcPr>
          <w:p w:rsidR="00A700C2" w:rsidRPr="00A562E9" w:rsidRDefault="00A700C2" w:rsidP="007661D6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100,1</w:t>
            </w:r>
          </w:p>
        </w:tc>
      </w:tr>
    </w:tbl>
    <w:p w:rsidR="00893C47" w:rsidRDefault="00893C47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3ED9" w:rsidRDefault="00583ED9" w:rsidP="00D61CBB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A1E" w:rsidRPr="00C86801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</w:t>
      </w:r>
      <w:r w:rsidRPr="00C86801">
        <w:rPr>
          <w:rFonts w:ascii="Times New Roman" w:hAnsi="Times New Roman" w:cs="Times New Roman"/>
          <w:sz w:val="24"/>
          <w:szCs w:val="24"/>
        </w:rPr>
        <w:t xml:space="preserve"> сумма </w:t>
      </w:r>
      <w:r w:rsidRPr="00D44856">
        <w:rPr>
          <w:rFonts w:ascii="Times New Roman" w:hAnsi="Times New Roman" w:cs="Times New Roman"/>
          <w:b/>
          <w:sz w:val="24"/>
          <w:szCs w:val="24"/>
        </w:rPr>
        <w:t>неналоговых</w:t>
      </w:r>
      <w:r>
        <w:rPr>
          <w:rFonts w:ascii="Times New Roman" w:hAnsi="Times New Roman" w:cs="Times New Roman"/>
          <w:sz w:val="24"/>
          <w:szCs w:val="24"/>
        </w:rPr>
        <w:t xml:space="preserve"> доходов</w:t>
      </w:r>
      <w:r w:rsidRPr="00C86801">
        <w:rPr>
          <w:rFonts w:ascii="Times New Roman" w:hAnsi="Times New Roman" w:cs="Times New Roman"/>
          <w:sz w:val="24"/>
          <w:szCs w:val="24"/>
        </w:rPr>
        <w:t xml:space="preserve"> в бюджете автономного округа составила: </w:t>
      </w:r>
    </w:p>
    <w:p w:rsidR="00CD3A1E" w:rsidRPr="000F308A" w:rsidRDefault="00CD3A1E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</w:t>
      </w:r>
      <w:r w:rsidR="00430C67" w:rsidRPr="000F308A">
        <w:rPr>
          <w:rFonts w:ascii="Times New Roman" w:hAnsi="Times New Roman" w:cs="Times New Roman"/>
          <w:sz w:val="24"/>
          <w:szCs w:val="24"/>
        </w:rPr>
        <w:t>1</w:t>
      </w:r>
      <w:r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5F1BC7" w:rsidRPr="000F308A">
        <w:rPr>
          <w:rFonts w:ascii="Times New Roman" w:hAnsi="Times New Roman" w:cs="Times New Roman"/>
          <w:sz w:val="24"/>
          <w:szCs w:val="24"/>
        </w:rPr>
        <w:t>3 </w:t>
      </w:r>
      <w:r w:rsidR="00B32223">
        <w:rPr>
          <w:rFonts w:ascii="Times New Roman" w:hAnsi="Times New Roman" w:cs="Times New Roman"/>
          <w:sz w:val="24"/>
          <w:szCs w:val="24"/>
        </w:rPr>
        <w:t>10</w:t>
      </w:r>
      <w:r w:rsidR="005F1BC7" w:rsidRPr="000F308A">
        <w:rPr>
          <w:rFonts w:ascii="Times New Roman" w:hAnsi="Times New Roman" w:cs="Times New Roman"/>
          <w:sz w:val="24"/>
          <w:szCs w:val="24"/>
        </w:rPr>
        <w:t>6 487,0</w:t>
      </w:r>
      <w:r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CD3A1E" w:rsidRPr="000F308A" w:rsidRDefault="00430C67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2022</w:t>
      </w:r>
      <w:r w:rsidR="00B32223">
        <w:rPr>
          <w:rFonts w:ascii="Times New Roman" w:hAnsi="Times New Roman" w:cs="Times New Roman"/>
          <w:sz w:val="24"/>
          <w:szCs w:val="24"/>
        </w:rPr>
        <w:t xml:space="preserve"> год – 3 07</w:t>
      </w:r>
      <w:r w:rsidR="005F1BC7" w:rsidRPr="000F308A">
        <w:rPr>
          <w:rFonts w:ascii="Times New Roman" w:hAnsi="Times New Roman" w:cs="Times New Roman"/>
          <w:sz w:val="24"/>
          <w:szCs w:val="24"/>
        </w:rPr>
        <w:t>4 493,2</w:t>
      </w:r>
      <w:r w:rsidR="00CD3A1E"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CD3A1E" w:rsidRPr="000F308A" w:rsidRDefault="00430C67" w:rsidP="00CD3A1E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2023</w:t>
      </w:r>
      <w:r w:rsidR="00CD3A1E" w:rsidRPr="000F308A">
        <w:rPr>
          <w:rFonts w:ascii="Times New Roman" w:hAnsi="Times New Roman" w:cs="Times New Roman"/>
          <w:sz w:val="24"/>
          <w:szCs w:val="24"/>
        </w:rPr>
        <w:t xml:space="preserve"> год</w:t>
      </w:r>
      <w:r w:rsidR="00B32223">
        <w:rPr>
          <w:rFonts w:ascii="Times New Roman" w:hAnsi="Times New Roman" w:cs="Times New Roman"/>
          <w:sz w:val="24"/>
          <w:szCs w:val="24"/>
        </w:rPr>
        <w:t xml:space="preserve"> – 3 09</w:t>
      </w:r>
      <w:r w:rsidR="005F1BC7" w:rsidRPr="000F308A">
        <w:rPr>
          <w:rFonts w:ascii="Times New Roman" w:hAnsi="Times New Roman" w:cs="Times New Roman"/>
          <w:sz w:val="24"/>
          <w:szCs w:val="24"/>
        </w:rPr>
        <w:t>7 787,8</w:t>
      </w:r>
      <w:r w:rsidR="00CD3A1E" w:rsidRPr="000F308A"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CD3A1E" w:rsidRPr="00C86801" w:rsidRDefault="00CD3A1E" w:rsidP="00CD3A1E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8E00F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году планируется снижение</w:t>
      </w:r>
      <w:r w:rsidR="0042158E">
        <w:rPr>
          <w:rFonts w:ascii="Times New Roman" w:hAnsi="Times New Roman" w:cs="Times New Roman"/>
          <w:sz w:val="24"/>
          <w:szCs w:val="24"/>
        </w:rPr>
        <w:t xml:space="preserve"> поступлений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E00FF">
        <w:rPr>
          <w:rFonts w:ascii="Times New Roman" w:hAnsi="Times New Roman" w:cs="Times New Roman"/>
          <w:sz w:val="24"/>
          <w:szCs w:val="24"/>
        </w:rPr>
        <w:t>1,0</w:t>
      </w:r>
      <w:r>
        <w:rPr>
          <w:rFonts w:ascii="Times New Roman" w:hAnsi="Times New Roman" w:cs="Times New Roman"/>
          <w:sz w:val="24"/>
          <w:szCs w:val="24"/>
        </w:rPr>
        <w:t xml:space="preserve">%, в основном за счет </w:t>
      </w:r>
      <w:r w:rsidRPr="00A50F79">
        <w:rPr>
          <w:rFonts w:ascii="Times New Roman" w:hAnsi="Times New Roman" w:cs="Times New Roman"/>
          <w:sz w:val="24"/>
          <w:szCs w:val="24"/>
        </w:rPr>
        <w:t xml:space="preserve">уменьшения суммы доходов от </w:t>
      </w:r>
      <w:r w:rsidR="008E00FF">
        <w:rPr>
          <w:rFonts w:ascii="Times New Roman" w:hAnsi="Times New Roman" w:cs="Times New Roman"/>
          <w:sz w:val="24"/>
          <w:szCs w:val="24"/>
        </w:rPr>
        <w:t>продажи материальных и нематериальных активов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 w:rsidRPr="00C86801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C8680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86801">
        <w:rPr>
          <w:rFonts w:ascii="Times New Roman" w:hAnsi="Times New Roman" w:cs="Times New Roman"/>
          <w:sz w:val="24"/>
          <w:szCs w:val="24"/>
        </w:rPr>
        <w:t xml:space="preserve"> </w:t>
      </w:r>
      <w:r w:rsidR="00197086">
        <w:rPr>
          <w:rFonts w:ascii="Times New Roman" w:hAnsi="Times New Roman" w:cs="Times New Roman"/>
          <w:sz w:val="24"/>
          <w:szCs w:val="24"/>
        </w:rPr>
        <w:t xml:space="preserve">напротив, </w:t>
      </w:r>
      <w:r w:rsidRPr="00C86801">
        <w:rPr>
          <w:rFonts w:ascii="Times New Roman" w:hAnsi="Times New Roman" w:cs="Times New Roman"/>
          <w:sz w:val="24"/>
          <w:szCs w:val="24"/>
        </w:rPr>
        <w:t xml:space="preserve">предусмотрен рост на </w:t>
      </w:r>
      <w:r w:rsidR="008E00FF">
        <w:rPr>
          <w:rFonts w:ascii="Times New Roman" w:hAnsi="Times New Roman" w:cs="Times New Roman"/>
          <w:sz w:val="24"/>
          <w:szCs w:val="24"/>
        </w:rPr>
        <w:t>0,8</w:t>
      </w:r>
      <w:r w:rsidRPr="00C86801">
        <w:rPr>
          <w:rFonts w:ascii="Times New Roman" w:hAnsi="Times New Roman" w:cs="Times New Roman"/>
          <w:sz w:val="24"/>
          <w:szCs w:val="24"/>
        </w:rPr>
        <w:t>% за счет увеличения доходов от уплаты штрафов, санкций, возмещения ущерба.</w:t>
      </w:r>
    </w:p>
    <w:p w:rsidR="00CD3A1E" w:rsidRPr="000F308A" w:rsidRDefault="00CD3A1E" w:rsidP="00CD3A1E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Расчет сумм доходов </w:t>
      </w:r>
      <w:r w:rsidRPr="000F308A">
        <w:rPr>
          <w:rFonts w:ascii="Times New Roman" w:hAnsi="Times New Roman" w:cs="Times New Roman"/>
          <w:i/>
          <w:sz w:val="24"/>
          <w:szCs w:val="24"/>
        </w:rPr>
        <w:t>по штрафам, санкциям, возмещению ущерба</w:t>
      </w:r>
      <w:r w:rsidRPr="000F308A">
        <w:rPr>
          <w:rFonts w:ascii="Times New Roman" w:hAnsi="Times New Roman" w:cs="Times New Roman"/>
          <w:sz w:val="24"/>
          <w:szCs w:val="24"/>
        </w:rPr>
        <w:t xml:space="preserve"> произведен Департамент</w:t>
      </w:r>
      <w:r w:rsidR="008C6C7B" w:rsidRPr="000F308A">
        <w:rPr>
          <w:rFonts w:ascii="Times New Roman" w:hAnsi="Times New Roman" w:cs="Times New Roman"/>
          <w:sz w:val="24"/>
          <w:szCs w:val="24"/>
        </w:rPr>
        <w:t>ом</w:t>
      </w:r>
      <w:r w:rsidRPr="000F308A">
        <w:rPr>
          <w:rFonts w:ascii="Times New Roman" w:hAnsi="Times New Roman" w:cs="Times New Roman"/>
          <w:sz w:val="24"/>
          <w:szCs w:val="24"/>
        </w:rPr>
        <w:t xml:space="preserve"> дорожного хозяйства и транспорта Ханты-Мансийского автономного округа – Югры</w:t>
      </w:r>
      <w:r w:rsidR="008C6C7B" w:rsidRPr="000F308A">
        <w:rPr>
          <w:rFonts w:ascii="Times New Roman" w:hAnsi="Times New Roman" w:cs="Times New Roman"/>
          <w:sz w:val="24"/>
          <w:szCs w:val="24"/>
        </w:rPr>
        <w:t>,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F095A">
        <w:rPr>
          <w:rFonts w:ascii="Times New Roman" w:hAnsi="Times New Roman" w:cs="Times New Roman"/>
          <w:sz w:val="24"/>
          <w:szCs w:val="24"/>
        </w:rPr>
        <w:t>Министерством</w:t>
      </w:r>
      <w:r w:rsidRPr="000F308A">
        <w:rPr>
          <w:rFonts w:ascii="Times New Roman" w:hAnsi="Times New Roman" w:cs="Times New Roman"/>
          <w:sz w:val="24"/>
          <w:szCs w:val="24"/>
        </w:rPr>
        <w:t xml:space="preserve"> внутренних дел </w:t>
      </w:r>
      <w:r w:rsidR="006F095A">
        <w:rPr>
          <w:rFonts w:ascii="Times New Roman" w:hAnsi="Times New Roman" w:cs="Times New Roman"/>
          <w:sz w:val="24"/>
          <w:szCs w:val="24"/>
        </w:rPr>
        <w:t xml:space="preserve">(УВД </w:t>
      </w:r>
      <w:r w:rsidRPr="000F308A">
        <w:rPr>
          <w:rFonts w:ascii="Times New Roman" w:hAnsi="Times New Roman" w:cs="Times New Roman"/>
          <w:sz w:val="24"/>
          <w:szCs w:val="24"/>
        </w:rPr>
        <w:t xml:space="preserve">по Ханты-Мансийскому автономному округу </w:t>
      </w:r>
      <w:r w:rsidR="008C6C7B" w:rsidRPr="000F308A">
        <w:rPr>
          <w:rFonts w:ascii="Times New Roman" w:hAnsi="Times New Roman" w:cs="Times New Roman"/>
          <w:sz w:val="24"/>
          <w:szCs w:val="24"/>
        </w:rPr>
        <w:t>–</w:t>
      </w:r>
      <w:r w:rsidRPr="000F308A">
        <w:rPr>
          <w:rFonts w:ascii="Times New Roman" w:hAnsi="Times New Roman" w:cs="Times New Roman"/>
          <w:sz w:val="24"/>
          <w:szCs w:val="24"/>
        </w:rPr>
        <w:t xml:space="preserve"> Югры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="008C6C7B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00097D" w:rsidRPr="000F308A">
        <w:rPr>
          <w:rFonts w:ascii="Times New Roman" w:hAnsi="Times New Roman" w:cs="Times New Roman"/>
          <w:sz w:val="24"/>
          <w:szCs w:val="24"/>
        </w:rPr>
        <w:t>и другими главными администраторами</w:t>
      </w:r>
      <w:r w:rsidR="00920D75" w:rsidRPr="000F308A">
        <w:rPr>
          <w:rFonts w:ascii="Times New Roman" w:hAnsi="Times New Roman" w:cs="Times New Roman"/>
          <w:sz w:val="24"/>
          <w:szCs w:val="24"/>
        </w:rPr>
        <w:t xml:space="preserve"> доходов бюджета автономного округа</w:t>
      </w:r>
      <w:r w:rsidR="006F095A">
        <w:rPr>
          <w:rFonts w:ascii="Times New Roman" w:hAnsi="Times New Roman" w:cs="Times New Roman"/>
          <w:sz w:val="24"/>
          <w:szCs w:val="24"/>
        </w:rPr>
        <w:t>, исходя из закрепленных за ними государственных полномочий</w:t>
      </w:r>
      <w:r w:rsidRPr="000F308A">
        <w:rPr>
          <w:rFonts w:ascii="Times New Roman" w:hAnsi="Times New Roman" w:cs="Times New Roman"/>
          <w:sz w:val="24"/>
          <w:szCs w:val="24"/>
        </w:rPr>
        <w:t>.</w:t>
      </w:r>
    </w:p>
    <w:p w:rsidR="00761E13" w:rsidRPr="000F308A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В результате сумма вышеуказанных доходов в бюджете автономного округа составила:</w:t>
      </w:r>
    </w:p>
    <w:p w:rsidR="00761E13" w:rsidRPr="000F308A" w:rsidRDefault="00761E1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</w:t>
      </w:r>
      <w:r w:rsidR="008E00FF" w:rsidRPr="000F308A">
        <w:rPr>
          <w:rFonts w:ascii="Times New Roman" w:hAnsi="Times New Roman" w:cs="Times New Roman"/>
          <w:sz w:val="24"/>
          <w:szCs w:val="24"/>
        </w:rPr>
        <w:t>1</w:t>
      </w:r>
      <w:r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E00FF" w:rsidRPr="000F308A">
        <w:rPr>
          <w:rFonts w:ascii="Times New Roman" w:hAnsi="Times New Roman" w:cs="Times New Roman"/>
          <w:sz w:val="24"/>
          <w:szCs w:val="24"/>
        </w:rPr>
        <w:t>2 0</w:t>
      </w:r>
      <w:r w:rsidR="00B32223">
        <w:rPr>
          <w:rFonts w:ascii="Times New Roman" w:hAnsi="Times New Roman" w:cs="Times New Roman"/>
          <w:sz w:val="24"/>
          <w:szCs w:val="24"/>
        </w:rPr>
        <w:t>8</w:t>
      </w:r>
      <w:r w:rsidR="008E00FF" w:rsidRPr="000F308A">
        <w:rPr>
          <w:rFonts w:ascii="Times New Roman" w:hAnsi="Times New Roman" w:cs="Times New Roman"/>
          <w:sz w:val="24"/>
          <w:szCs w:val="24"/>
        </w:rPr>
        <w:t>9 671,1</w:t>
      </w:r>
      <w:r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761E13" w:rsidRPr="000F308A" w:rsidRDefault="008E00FF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2022</w:t>
      </w:r>
      <w:r w:rsidR="00761E13"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B32223">
        <w:rPr>
          <w:rFonts w:ascii="Times New Roman" w:hAnsi="Times New Roman" w:cs="Times New Roman"/>
          <w:sz w:val="24"/>
          <w:szCs w:val="24"/>
        </w:rPr>
        <w:t>2 12</w:t>
      </w:r>
      <w:r w:rsidRPr="000F308A">
        <w:rPr>
          <w:rFonts w:ascii="Times New Roman" w:hAnsi="Times New Roman" w:cs="Times New Roman"/>
          <w:sz w:val="24"/>
          <w:szCs w:val="24"/>
        </w:rPr>
        <w:t>9 0</w:t>
      </w:r>
      <w:r w:rsidR="00846568">
        <w:rPr>
          <w:rFonts w:ascii="Times New Roman" w:hAnsi="Times New Roman" w:cs="Times New Roman"/>
          <w:sz w:val="24"/>
          <w:szCs w:val="24"/>
        </w:rPr>
        <w:t>25</w:t>
      </w:r>
      <w:r w:rsidRPr="000F308A">
        <w:rPr>
          <w:rFonts w:ascii="Times New Roman" w:hAnsi="Times New Roman" w:cs="Times New Roman"/>
          <w:sz w:val="24"/>
          <w:szCs w:val="24"/>
        </w:rPr>
        <w:t>,9</w:t>
      </w:r>
      <w:r w:rsidR="00761E13" w:rsidRPr="000F308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761E13" w:rsidRPr="000F308A" w:rsidRDefault="00B32223" w:rsidP="00761E13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– 2 17</w:t>
      </w:r>
      <w:r w:rsidR="008E00FF" w:rsidRPr="000F308A">
        <w:rPr>
          <w:rFonts w:ascii="Times New Roman" w:hAnsi="Times New Roman" w:cs="Times New Roman"/>
          <w:sz w:val="24"/>
          <w:szCs w:val="24"/>
        </w:rPr>
        <w:t>0 782,0</w:t>
      </w:r>
      <w:r w:rsidR="00761E13" w:rsidRPr="000F308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FC6861" w:rsidRPr="000F308A" w:rsidRDefault="007E6F25" w:rsidP="00761E1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Т</w:t>
      </w:r>
      <w:r w:rsidR="00761E13" w:rsidRPr="000F308A">
        <w:rPr>
          <w:rFonts w:ascii="Times New Roman" w:hAnsi="Times New Roman" w:cs="Times New Roman"/>
          <w:sz w:val="24"/>
          <w:szCs w:val="24"/>
        </w:rPr>
        <w:t>емп роста</w:t>
      </w:r>
      <w:r w:rsidR="00E052B8" w:rsidRPr="000F308A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="00761E13" w:rsidRPr="000F308A">
        <w:rPr>
          <w:rFonts w:ascii="Times New Roman" w:hAnsi="Times New Roman" w:cs="Times New Roman"/>
          <w:sz w:val="24"/>
          <w:szCs w:val="24"/>
        </w:rPr>
        <w:t xml:space="preserve"> 1,9%</w:t>
      </w:r>
      <w:r w:rsidRPr="000F308A">
        <w:rPr>
          <w:rFonts w:ascii="Times New Roman" w:hAnsi="Times New Roman" w:cs="Times New Roman"/>
          <w:sz w:val="24"/>
          <w:szCs w:val="24"/>
        </w:rPr>
        <w:t xml:space="preserve"> и 2,0% соответственно по годам</w:t>
      </w:r>
      <w:r w:rsidR="00E052B8" w:rsidRPr="000F308A">
        <w:rPr>
          <w:rFonts w:ascii="Times New Roman" w:hAnsi="Times New Roman" w:cs="Times New Roman"/>
          <w:sz w:val="24"/>
          <w:szCs w:val="24"/>
        </w:rPr>
        <w:t xml:space="preserve"> предполагается</w:t>
      </w:r>
      <w:r w:rsidR="00761E13" w:rsidRPr="000F308A">
        <w:rPr>
          <w:rFonts w:ascii="Times New Roman" w:hAnsi="Times New Roman" w:cs="Times New Roman"/>
          <w:sz w:val="24"/>
          <w:szCs w:val="24"/>
        </w:rPr>
        <w:t xml:space="preserve"> за счет увеличения</w:t>
      </w:r>
      <w:r w:rsidR="00E938B4" w:rsidRPr="000F308A">
        <w:rPr>
          <w:rFonts w:ascii="Times New Roman" w:hAnsi="Times New Roman" w:cs="Times New Roman"/>
          <w:sz w:val="24"/>
          <w:szCs w:val="24"/>
        </w:rPr>
        <w:t xml:space="preserve"> поступлени</w:t>
      </w:r>
      <w:r w:rsidR="00761E13" w:rsidRPr="000F308A">
        <w:rPr>
          <w:rFonts w:ascii="Times New Roman" w:hAnsi="Times New Roman" w:cs="Times New Roman"/>
          <w:sz w:val="24"/>
          <w:szCs w:val="24"/>
        </w:rPr>
        <w:t>й</w:t>
      </w:r>
      <w:r w:rsidR="00E938B4" w:rsidRPr="000F308A">
        <w:rPr>
          <w:rFonts w:ascii="Times New Roman" w:hAnsi="Times New Roman" w:cs="Times New Roman"/>
          <w:sz w:val="24"/>
          <w:szCs w:val="24"/>
        </w:rPr>
        <w:t xml:space="preserve"> штрафов за административные правонарушения в области дорожного движения. </w:t>
      </w:r>
    </w:p>
    <w:p w:rsidR="00481520" w:rsidRPr="000F308A" w:rsidRDefault="00481520" w:rsidP="00481520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lastRenderedPageBreak/>
        <w:t>Расчет сумм</w:t>
      </w:r>
      <w:r w:rsidR="00AA2D8A" w:rsidRPr="000F308A">
        <w:rPr>
          <w:rFonts w:ascii="Times New Roman" w:hAnsi="Times New Roman" w:cs="Times New Roman"/>
          <w:sz w:val="24"/>
          <w:szCs w:val="24"/>
        </w:rPr>
        <w:t>ы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Pr="000F308A">
        <w:rPr>
          <w:rFonts w:ascii="Times New Roman" w:hAnsi="Times New Roman" w:cs="Times New Roman"/>
          <w:i/>
          <w:sz w:val="24"/>
          <w:szCs w:val="24"/>
        </w:rPr>
        <w:t>доходов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Pr="000F308A">
        <w:rPr>
          <w:rFonts w:ascii="Times New Roman" w:hAnsi="Times New Roman" w:cs="Times New Roman"/>
          <w:i/>
          <w:sz w:val="24"/>
          <w:szCs w:val="24"/>
        </w:rPr>
        <w:t xml:space="preserve">от использования имущества, находящегося в государственной собственности </w:t>
      </w:r>
      <w:r w:rsidRPr="000F308A">
        <w:rPr>
          <w:rFonts w:ascii="Times New Roman" w:hAnsi="Times New Roman" w:cs="Times New Roman"/>
          <w:sz w:val="24"/>
          <w:szCs w:val="24"/>
        </w:rPr>
        <w:t>произведен</w:t>
      </w:r>
      <w:r w:rsidR="00614112" w:rsidRPr="000F308A">
        <w:rPr>
          <w:rFonts w:ascii="Times New Roman" w:hAnsi="Times New Roman" w:cs="Times New Roman"/>
          <w:sz w:val="24"/>
          <w:szCs w:val="24"/>
        </w:rPr>
        <w:t xml:space="preserve"> Департаментом по управлению государственным имуществом Ханты-Мансийского автономного округа – Югры, Департаментом финансов Ханты-Мансийского автономного округа – Югры и другими</w:t>
      </w:r>
      <w:r w:rsidR="008A166B" w:rsidRPr="000F308A">
        <w:rPr>
          <w:rFonts w:ascii="Times New Roman" w:hAnsi="Times New Roman" w:cs="Times New Roman"/>
          <w:sz w:val="24"/>
          <w:szCs w:val="24"/>
        </w:rPr>
        <w:t xml:space="preserve"> главными администраторами доходов бюджета автономного округа</w:t>
      </w:r>
      <w:r w:rsidRPr="000F308A">
        <w:rPr>
          <w:rFonts w:ascii="Times New Roman" w:hAnsi="Times New Roman" w:cs="Times New Roman"/>
          <w:sz w:val="24"/>
          <w:szCs w:val="24"/>
        </w:rPr>
        <w:t>.</w:t>
      </w:r>
    </w:p>
    <w:p w:rsidR="00481520" w:rsidRPr="000F308A" w:rsidRDefault="00481520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В результате сумма вышеуказанных доходов в бюджете автономного округа составила:</w:t>
      </w:r>
    </w:p>
    <w:p w:rsidR="00481520" w:rsidRPr="000F308A" w:rsidRDefault="00481520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</w:t>
      </w:r>
      <w:r w:rsidR="007E6F25" w:rsidRPr="000F308A">
        <w:rPr>
          <w:rFonts w:ascii="Times New Roman" w:hAnsi="Times New Roman" w:cs="Times New Roman"/>
          <w:sz w:val="24"/>
          <w:szCs w:val="24"/>
        </w:rPr>
        <w:t>1</w:t>
      </w:r>
      <w:r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803CD" w:rsidRPr="000F308A">
        <w:rPr>
          <w:rFonts w:ascii="Times New Roman" w:hAnsi="Times New Roman" w:cs="Times New Roman"/>
          <w:sz w:val="24"/>
          <w:szCs w:val="24"/>
        </w:rPr>
        <w:t>424 532,0</w:t>
      </w:r>
      <w:r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481520" w:rsidRPr="000F308A" w:rsidRDefault="007E6F25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2022</w:t>
      </w:r>
      <w:r w:rsidR="00481520"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8803CD" w:rsidRPr="000F308A">
        <w:rPr>
          <w:rFonts w:ascii="Times New Roman" w:hAnsi="Times New Roman" w:cs="Times New Roman"/>
          <w:sz w:val="24"/>
          <w:szCs w:val="24"/>
        </w:rPr>
        <w:t>420 927,0</w:t>
      </w:r>
      <w:r w:rsidR="00481520" w:rsidRPr="000F308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81520" w:rsidRPr="000F308A" w:rsidRDefault="007E6F25" w:rsidP="00481520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2023</w:t>
      </w:r>
      <w:r w:rsidR="008803CD" w:rsidRPr="000F308A">
        <w:rPr>
          <w:rFonts w:ascii="Times New Roman" w:hAnsi="Times New Roman" w:cs="Times New Roman"/>
          <w:sz w:val="24"/>
          <w:szCs w:val="24"/>
        </w:rPr>
        <w:t xml:space="preserve"> год – 402 050,4</w:t>
      </w:r>
      <w:r w:rsidR="00481520" w:rsidRPr="000F308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F7DDB" w:rsidRPr="000F308A" w:rsidRDefault="00827A27" w:rsidP="006F7DD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С</w:t>
      </w:r>
      <w:r w:rsidR="006F7DDB" w:rsidRPr="000F308A">
        <w:rPr>
          <w:rFonts w:ascii="Times New Roman" w:hAnsi="Times New Roman" w:cs="Times New Roman"/>
          <w:sz w:val="24"/>
          <w:szCs w:val="24"/>
        </w:rPr>
        <w:t xml:space="preserve">нижение поступлений на </w:t>
      </w:r>
      <w:r w:rsidR="008803CD" w:rsidRPr="000F308A">
        <w:rPr>
          <w:rFonts w:ascii="Times New Roman" w:hAnsi="Times New Roman" w:cs="Times New Roman"/>
          <w:sz w:val="24"/>
          <w:szCs w:val="24"/>
        </w:rPr>
        <w:t>0,8</w:t>
      </w:r>
      <w:r w:rsidR="000E0E0B" w:rsidRPr="000F308A">
        <w:rPr>
          <w:rFonts w:ascii="Times New Roman" w:hAnsi="Times New Roman" w:cs="Times New Roman"/>
          <w:sz w:val="24"/>
          <w:szCs w:val="24"/>
        </w:rPr>
        <w:t xml:space="preserve">% и </w:t>
      </w:r>
      <w:r w:rsidR="008803CD" w:rsidRPr="000F308A">
        <w:rPr>
          <w:rFonts w:ascii="Times New Roman" w:hAnsi="Times New Roman" w:cs="Times New Roman"/>
          <w:sz w:val="24"/>
          <w:szCs w:val="24"/>
        </w:rPr>
        <w:t>4,5</w:t>
      </w:r>
      <w:r w:rsidR="006F7DDB" w:rsidRPr="000F308A">
        <w:rPr>
          <w:rFonts w:ascii="Times New Roman" w:hAnsi="Times New Roman" w:cs="Times New Roman"/>
          <w:sz w:val="24"/>
          <w:szCs w:val="24"/>
        </w:rPr>
        <w:t>% соответственно по годам</w:t>
      </w:r>
      <w:r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F7DDB" w:rsidRPr="000F308A">
        <w:rPr>
          <w:rFonts w:ascii="Times New Roman" w:hAnsi="Times New Roman" w:cs="Times New Roman"/>
          <w:sz w:val="24"/>
          <w:szCs w:val="24"/>
        </w:rPr>
        <w:t>обусловлено уменьшением доходов, поступающих от размещения временно свободных средств бюджета, в связи с размещением меньшего объема средств бюджета автономного округа на счетах банков, а также снижени</w:t>
      </w:r>
      <w:r w:rsidR="00E578C9" w:rsidRPr="000F308A">
        <w:rPr>
          <w:rFonts w:ascii="Times New Roman" w:hAnsi="Times New Roman" w:cs="Times New Roman"/>
          <w:sz w:val="24"/>
          <w:szCs w:val="24"/>
        </w:rPr>
        <w:t>ем</w:t>
      </w:r>
      <w:r w:rsidR="006F7DDB" w:rsidRPr="000F308A">
        <w:rPr>
          <w:rFonts w:ascii="Times New Roman" w:hAnsi="Times New Roman" w:cs="Times New Roman"/>
          <w:sz w:val="24"/>
          <w:szCs w:val="24"/>
        </w:rPr>
        <w:t xml:space="preserve"> доходов от аренды имущества в связи с уменьшением количества</w:t>
      </w:r>
      <w:r w:rsidR="007B00DD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6F7DDB" w:rsidRPr="000F308A">
        <w:rPr>
          <w:rFonts w:ascii="Times New Roman" w:hAnsi="Times New Roman" w:cs="Times New Roman"/>
          <w:sz w:val="24"/>
          <w:szCs w:val="24"/>
        </w:rPr>
        <w:t>договоров аренды</w:t>
      </w:r>
      <w:r w:rsidR="007B00DD" w:rsidRPr="000F308A">
        <w:rPr>
          <w:rFonts w:ascii="Times New Roman" w:hAnsi="Times New Roman" w:cs="Times New Roman"/>
          <w:sz w:val="24"/>
          <w:szCs w:val="24"/>
        </w:rPr>
        <w:t xml:space="preserve"> и размера арендной платы</w:t>
      </w:r>
      <w:r w:rsidR="006F7DDB" w:rsidRPr="000F308A">
        <w:rPr>
          <w:rFonts w:ascii="Times New Roman" w:hAnsi="Times New Roman" w:cs="Times New Roman"/>
          <w:sz w:val="24"/>
          <w:szCs w:val="24"/>
        </w:rPr>
        <w:t>.</w:t>
      </w:r>
    </w:p>
    <w:p w:rsidR="008B2FA7" w:rsidRPr="000F308A" w:rsidRDefault="00AA2D8A" w:rsidP="009F545C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Расчет</w:t>
      </w:r>
      <w:r w:rsidR="009F545C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9F545C" w:rsidRPr="000F308A">
        <w:rPr>
          <w:rFonts w:ascii="Times New Roman" w:hAnsi="Times New Roman" w:cs="Times New Roman"/>
          <w:i/>
          <w:sz w:val="24"/>
          <w:szCs w:val="24"/>
        </w:rPr>
        <w:t>платежей при пользовании природными ресурсами</w:t>
      </w:r>
      <w:r w:rsidR="009F545C" w:rsidRPr="000F308A">
        <w:rPr>
          <w:rFonts w:ascii="Times New Roman" w:hAnsi="Times New Roman" w:cs="Times New Roman"/>
          <w:sz w:val="24"/>
          <w:szCs w:val="24"/>
        </w:rPr>
        <w:t xml:space="preserve"> </w:t>
      </w:r>
      <w:r w:rsidR="008B2FA7" w:rsidRPr="000F308A">
        <w:rPr>
          <w:rFonts w:ascii="Times New Roman" w:hAnsi="Times New Roman" w:cs="Times New Roman"/>
          <w:sz w:val="24"/>
          <w:szCs w:val="24"/>
        </w:rPr>
        <w:t xml:space="preserve">произведен Департаментом недропользования и природных ресурсов Ханты-Мансийского автономного округа – Югры и </w:t>
      </w:r>
      <w:r w:rsidR="006F095A">
        <w:rPr>
          <w:rFonts w:ascii="Times New Roman" w:hAnsi="Times New Roman" w:cs="Times New Roman"/>
          <w:sz w:val="24"/>
          <w:szCs w:val="24"/>
        </w:rPr>
        <w:t>Федеральной налоговой службой (</w:t>
      </w:r>
      <w:r w:rsidR="008B2FA7" w:rsidRPr="000F308A">
        <w:rPr>
          <w:rFonts w:ascii="Times New Roman" w:hAnsi="Times New Roman" w:cs="Times New Roman"/>
          <w:sz w:val="24"/>
          <w:szCs w:val="24"/>
        </w:rPr>
        <w:t>Управлением Федеральной налоговой службы по Ханты-Мансийскому автономному округу – Югре</w:t>
      </w:r>
      <w:r w:rsidR="006F095A">
        <w:rPr>
          <w:rFonts w:ascii="Times New Roman" w:hAnsi="Times New Roman" w:cs="Times New Roman"/>
          <w:sz w:val="24"/>
          <w:szCs w:val="24"/>
        </w:rPr>
        <w:t>)</w:t>
      </w:r>
      <w:r w:rsidR="008B2FA7" w:rsidRPr="000F308A">
        <w:rPr>
          <w:rFonts w:ascii="Times New Roman" w:hAnsi="Times New Roman" w:cs="Times New Roman"/>
          <w:sz w:val="24"/>
          <w:szCs w:val="24"/>
        </w:rPr>
        <w:t>.</w:t>
      </w:r>
    </w:p>
    <w:p w:rsidR="008B2FA7" w:rsidRPr="000F308A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В результате сумма вышеуказанных доходов в бюджете автономного округа составила:</w:t>
      </w:r>
    </w:p>
    <w:p w:rsidR="008B2FA7" w:rsidRPr="000F308A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</w:t>
      </w:r>
      <w:r w:rsidR="004832F3" w:rsidRPr="000F308A">
        <w:rPr>
          <w:rFonts w:ascii="Times New Roman" w:hAnsi="Times New Roman" w:cs="Times New Roman"/>
          <w:sz w:val="24"/>
          <w:szCs w:val="24"/>
        </w:rPr>
        <w:t>1</w:t>
      </w:r>
      <w:r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832F3" w:rsidRPr="000F308A">
        <w:rPr>
          <w:rFonts w:ascii="Times New Roman" w:hAnsi="Times New Roman" w:cs="Times New Roman"/>
          <w:sz w:val="24"/>
          <w:szCs w:val="24"/>
        </w:rPr>
        <w:t>315 898,8</w:t>
      </w:r>
      <w:r w:rsidRPr="000F308A">
        <w:rPr>
          <w:rFonts w:ascii="Times New Roman" w:hAnsi="Times New Roman" w:cs="Times New Roman"/>
          <w:sz w:val="24"/>
          <w:szCs w:val="24"/>
        </w:rPr>
        <w:t xml:space="preserve"> тыс. рублей; </w:t>
      </w:r>
    </w:p>
    <w:p w:rsidR="008B2FA7" w:rsidRPr="000F308A" w:rsidRDefault="004832F3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2022</w:t>
      </w:r>
      <w:r w:rsidR="008B2FA7" w:rsidRPr="000F308A">
        <w:rPr>
          <w:rFonts w:ascii="Times New Roman" w:hAnsi="Times New Roman" w:cs="Times New Roman"/>
          <w:sz w:val="24"/>
          <w:szCs w:val="24"/>
        </w:rPr>
        <w:t xml:space="preserve"> год – </w:t>
      </w:r>
      <w:r w:rsidRPr="000F308A">
        <w:rPr>
          <w:rFonts w:ascii="Times New Roman" w:hAnsi="Times New Roman" w:cs="Times New Roman"/>
          <w:sz w:val="24"/>
          <w:szCs w:val="24"/>
        </w:rPr>
        <w:t>327 877,7</w:t>
      </w:r>
      <w:r w:rsidR="008B2FA7" w:rsidRPr="000F308A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8B2FA7" w:rsidRPr="000F308A" w:rsidRDefault="004832F3" w:rsidP="008B2FA7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>на 2023 год – 328 065,2</w:t>
      </w:r>
      <w:r w:rsidR="008B2FA7" w:rsidRPr="000F308A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9F545C" w:rsidRPr="000F308A" w:rsidRDefault="008B2FA7" w:rsidP="009F545C">
      <w:pPr>
        <w:tabs>
          <w:tab w:val="left" w:pos="93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08A">
        <w:rPr>
          <w:rFonts w:ascii="Times New Roman" w:hAnsi="Times New Roman" w:cs="Times New Roman"/>
          <w:sz w:val="24"/>
          <w:szCs w:val="24"/>
        </w:rPr>
        <w:t xml:space="preserve">Темп роста составил </w:t>
      </w:r>
      <w:r w:rsidR="004832F3" w:rsidRPr="000F308A">
        <w:rPr>
          <w:rFonts w:ascii="Times New Roman" w:hAnsi="Times New Roman" w:cs="Times New Roman"/>
          <w:sz w:val="24"/>
          <w:szCs w:val="24"/>
        </w:rPr>
        <w:t>3,8</w:t>
      </w:r>
      <w:r w:rsidRPr="000F308A">
        <w:rPr>
          <w:rFonts w:ascii="Times New Roman" w:hAnsi="Times New Roman" w:cs="Times New Roman"/>
          <w:sz w:val="24"/>
          <w:szCs w:val="24"/>
        </w:rPr>
        <w:t xml:space="preserve">% и 0,1% соответственно по годам. </w:t>
      </w:r>
      <w:r w:rsidR="009F545C" w:rsidRPr="000F30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2FA7" w:rsidRDefault="008B2FA7" w:rsidP="008B2FA7">
      <w:pPr>
        <w:suppressAutoHyphens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4D63">
        <w:rPr>
          <w:rFonts w:ascii="Times New Roman" w:hAnsi="Times New Roman" w:cs="Times New Roman"/>
          <w:sz w:val="24"/>
          <w:szCs w:val="24"/>
        </w:rPr>
        <w:t>О</w:t>
      </w:r>
      <w:r w:rsidRPr="00D14D63">
        <w:rPr>
          <w:rFonts w:ascii="Times New Roman" w:hAnsi="Times New Roman" w:cs="Times New Roman"/>
          <w:i/>
          <w:sz w:val="24"/>
          <w:szCs w:val="24"/>
        </w:rPr>
        <w:t xml:space="preserve">стальные </w:t>
      </w:r>
      <w:r>
        <w:rPr>
          <w:rFonts w:ascii="Times New Roman" w:hAnsi="Times New Roman" w:cs="Times New Roman"/>
          <w:i/>
          <w:sz w:val="24"/>
          <w:szCs w:val="24"/>
        </w:rPr>
        <w:t>не</w:t>
      </w:r>
      <w:r w:rsidRPr="00D14D63">
        <w:rPr>
          <w:rFonts w:ascii="Times New Roman" w:hAnsi="Times New Roman" w:cs="Times New Roman"/>
          <w:i/>
          <w:sz w:val="24"/>
          <w:szCs w:val="24"/>
        </w:rPr>
        <w:t>налоговые доходы</w:t>
      </w:r>
      <w:r w:rsidRPr="00D14D63">
        <w:rPr>
          <w:rFonts w:ascii="Times New Roman" w:hAnsi="Times New Roman" w:cs="Times New Roman"/>
          <w:sz w:val="24"/>
          <w:szCs w:val="24"/>
        </w:rPr>
        <w:t xml:space="preserve">, к которым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отне</w:t>
      </w:r>
      <w:r w:rsidRPr="00C8680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ены</w:t>
      </w:r>
      <w:r w:rsidRPr="00C86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от оказания платных услуг и компенсации затрат государства, доходы от продажи материальных и нематериальных активов, административные платежи и сборы, прочие неналоговые доходы</w:t>
      </w:r>
      <w:r w:rsidRPr="00D14D63">
        <w:rPr>
          <w:rFonts w:ascii="Times New Roman" w:hAnsi="Times New Roman" w:cs="Times New Roman"/>
          <w:sz w:val="24"/>
          <w:szCs w:val="24"/>
        </w:rPr>
        <w:t xml:space="preserve">, запланированы </w:t>
      </w:r>
      <w:r w:rsidR="00F63204">
        <w:rPr>
          <w:rFonts w:ascii="Times New Roman" w:hAnsi="Times New Roman" w:cs="Times New Roman"/>
          <w:sz w:val="24"/>
          <w:szCs w:val="24"/>
        </w:rPr>
        <w:t>со снижением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067E">
        <w:rPr>
          <w:rFonts w:ascii="Times New Roman" w:hAnsi="Times New Roman" w:cs="Times New Roman"/>
          <w:sz w:val="24"/>
          <w:szCs w:val="24"/>
        </w:rPr>
        <w:t xml:space="preserve">в 2022 году к 2021 году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A067E">
        <w:rPr>
          <w:rFonts w:ascii="Times New Roman" w:hAnsi="Times New Roman" w:cs="Times New Roman"/>
          <w:sz w:val="24"/>
          <w:szCs w:val="24"/>
        </w:rPr>
        <w:t>28,8</w:t>
      </w:r>
      <w:r w:rsidR="00F5454C">
        <w:rPr>
          <w:rFonts w:ascii="Times New Roman" w:hAnsi="Times New Roman" w:cs="Times New Roman"/>
          <w:sz w:val="24"/>
          <w:szCs w:val="24"/>
        </w:rPr>
        <w:t>%</w:t>
      </w:r>
      <w:r w:rsidR="00596CAF">
        <w:rPr>
          <w:rFonts w:ascii="Times New Roman" w:hAnsi="Times New Roman" w:cs="Times New Roman"/>
          <w:sz w:val="24"/>
          <w:szCs w:val="24"/>
        </w:rPr>
        <w:t>,</w:t>
      </w:r>
      <w:r w:rsidR="00F5454C">
        <w:rPr>
          <w:rFonts w:ascii="Times New Roman" w:hAnsi="Times New Roman" w:cs="Times New Roman"/>
          <w:sz w:val="24"/>
          <w:szCs w:val="24"/>
        </w:rPr>
        <w:t xml:space="preserve"> </w:t>
      </w:r>
      <w:r w:rsidR="006C099C" w:rsidRPr="00CA741D">
        <w:rPr>
          <w:rFonts w:ascii="Times New Roman" w:hAnsi="Times New Roman" w:cs="Times New Roman"/>
          <w:sz w:val="24"/>
          <w:szCs w:val="24"/>
        </w:rPr>
        <w:t>так как в</w:t>
      </w:r>
      <w:r w:rsidR="00E85EC5">
        <w:rPr>
          <w:rFonts w:ascii="Times New Roman" w:hAnsi="Times New Roman" w:cs="Times New Roman"/>
          <w:sz w:val="24"/>
          <w:szCs w:val="24"/>
        </w:rPr>
        <w:t xml:space="preserve"> 2021 году учтен</w:t>
      </w:r>
      <w:r w:rsidR="00E540C7">
        <w:rPr>
          <w:rFonts w:ascii="Times New Roman" w:hAnsi="Times New Roman" w:cs="Times New Roman"/>
          <w:sz w:val="24"/>
          <w:szCs w:val="24"/>
        </w:rPr>
        <w:t xml:space="preserve">а </w:t>
      </w:r>
      <w:r w:rsidR="006C099C" w:rsidRPr="00CA741D">
        <w:rPr>
          <w:rFonts w:ascii="Times New Roman" w:hAnsi="Times New Roman" w:cs="Times New Roman"/>
          <w:sz w:val="24"/>
          <w:szCs w:val="24"/>
        </w:rPr>
        <w:t>плат</w:t>
      </w:r>
      <w:r w:rsidR="00E540C7">
        <w:rPr>
          <w:rFonts w:ascii="Times New Roman" w:hAnsi="Times New Roman" w:cs="Times New Roman"/>
          <w:sz w:val="24"/>
          <w:szCs w:val="24"/>
        </w:rPr>
        <w:t>а</w:t>
      </w:r>
      <w:r w:rsidR="006C099C" w:rsidRPr="00CA741D">
        <w:rPr>
          <w:rFonts w:ascii="Times New Roman" w:hAnsi="Times New Roman" w:cs="Times New Roman"/>
          <w:sz w:val="24"/>
          <w:szCs w:val="24"/>
        </w:rPr>
        <w:t xml:space="preserve"> за право размещения депозитов в размере 61 650,2 тыс. рублей, </w:t>
      </w:r>
      <w:r w:rsidR="007F004D">
        <w:rPr>
          <w:rFonts w:ascii="Times New Roman" w:hAnsi="Times New Roman" w:cs="Times New Roman"/>
          <w:sz w:val="24"/>
          <w:szCs w:val="24"/>
        </w:rPr>
        <w:t>поступающая</w:t>
      </w:r>
      <w:r w:rsidR="006C099C" w:rsidRPr="00CA741D">
        <w:rPr>
          <w:rFonts w:ascii="Times New Roman" w:hAnsi="Times New Roman" w:cs="Times New Roman"/>
          <w:sz w:val="24"/>
          <w:szCs w:val="24"/>
        </w:rPr>
        <w:t xml:space="preserve"> один раз в три года, а так же за счет </w:t>
      </w:r>
      <w:r w:rsidR="00596CAF" w:rsidRPr="00CA741D">
        <w:rPr>
          <w:rFonts w:ascii="Times New Roman" w:hAnsi="Times New Roman" w:cs="Times New Roman"/>
          <w:sz w:val="24"/>
          <w:szCs w:val="24"/>
        </w:rPr>
        <w:t>уменьшени</w:t>
      </w:r>
      <w:r w:rsidR="006C099C" w:rsidRPr="00CA741D">
        <w:rPr>
          <w:rFonts w:ascii="Times New Roman" w:hAnsi="Times New Roman" w:cs="Times New Roman"/>
          <w:sz w:val="24"/>
          <w:szCs w:val="24"/>
        </w:rPr>
        <w:t>я</w:t>
      </w:r>
      <w:r w:rsidR="00596CAF" w:rsidRPr="00CA741D">
        <w:rPr>
          <w:rFonts w:ascii="Times New Roman" w:hAnsi="Times New Roman" w:cs="Times New Roman"/>
          <w:sz w:val="24"/>
          <w:szCs w:val="24"/>
        </w:rPr>
        <w:t xml:space="preserve"> </w:t>
      </w:r>
      <w:r w:rsidR="00AF06D8" w:rsidRPr="00CA741D">
        <w:rPr>
          <w:rFonts w:ascii="Times New Roman" w:hAnsi="Times New Roman" w:cs="Times New Roman"/>
          <w:sz w:val="24"/>
          <w:szCs w:val="24"/>
        </w:rPr>
        <w:t xml:space="preserve">в 2022 году </w:t>
      </w:r>
      <w:r w:rsidR="00596CAF" w:rsidRPr="00CA741D">
        <w:rPr>
          <w:rFonts w:ascii="Times New Roman" w:hAnsi="Times New Roman" w:cs="Times New Roman"/>
          <w:sz w:val="24"/>
          <w:szCs w:val="24"/>
        </w:rPr>
        <w:t xml:space="preserve">доходов от продажи квартир, </w:t>
      </w:r>
      <w:r w:rsidR="007A067E" w:rsidRPr="00CA741D">
        <w:rPr>
          <w:rFonts w:ascii="Times New Roman" w:hAnsi="Times New Roman" w:cs="Times New Roman"/>
          <w:sz w:val="24"/>
          <w:szCs w:val="24"/>
        </w:rPr>
        <w:t xml:space="preserve">в </w:t>
      </w:r>
      <w:r w:rsidR="007A067E">
        <w:rPr>
          <w:rFonts w:ascii="Times New Roman" w:hAnsi="Times New Roman" w:cs="Times New Roman"/>
          <w:sz w:val="24"/>
          <w:szCs w:val="24"/>
        </w:rPr>
        <w:t xml:space="preserve">2023 году </w:t>
      </w:r>
      <w:r w:rsidR="00354EB5">
        <w:rPr>
          <w:rFonts w:ascii="Times New Roman" w:hAnsi="Times New Roman" w:cs="Times New Roman"/>
          <w:sz w:val="24"/>
          <w:szCs w:val="24"/>
        </w:rPr>
        <w:t xml:space="preserve">по отношению </w:t>
      </w:r>
      <w:r w:rsidR="007A067E">
        <w:rPr>
          <w:rFonts w:ascii="Times New Roman" w:hAnsi="Times New Roman" w:cs="Times New Roman"/>
          <w:sz w:val="24"/>
          <w:szCs w:val="24"/>
        </w:rPr>
        <w:t xml:space="preserve">к 2022 году </w:t>
      </w:r>
      <w:r w:rsidR="00596CAF">
        <w:rPr>
          <w:rFonts w:ascii="Times New Roman" w:hAnsi="Times New Roman" w:cs="Times New Roman"/>
          <w:sz w:val="24"/>
          <w:szCs w:val="24"/>
        </w:rPr>
        <w:t xml:space="preserve">увеличение составило </w:t>
      </w:r>
      <w:r w:rsidR="007A067E">
        <w:rPr>
          <w:rFonts w:ascii="Times New Roman" w:hAnsi="Times New Roman" w:cs="Times New Roman"/>
          <w:sz w:val="24"/>
          <w:szCs w:val="24"/>
        </w:rPr>
        <w:t>0,1%</w:t>
      </w:r>
      <w:r w:rsidR="00596CAF">
        <w:rPr>
          <w:rFonts w:ascii="Times New Roman" w:hAnsi="Times New Roman" w:cs="Times New Roman"/>
          <w:sz w:val="24"/>
          <w:szCs w:val="24"/>
        </w:rPr>
        <w:t>.</w:t>
      </w:r>
    </w:p>
    <w:p w:rsidR="0091642A" w:rsidRPr="00C86801" w:rsidRDefault="005A4BC4" w:rsidP="00273368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>Кроме налоговых и неналоговых доходов в бю</w:t>
      </w:r>
      <w:r w:rsidR="00A416A5">
        <w:rPr>
          <w:rFonts w:ascii="Times New Roman" w:hAnsi="Times New Roman" w:cs="Times New Roman"/>
          <w:noProof/>
          <w:sz w:val="24"/>
          <w:szCs w:val="24"/>
          <w:lang w:eastAsia="ru-RU"/>
        </w:rPr>
        <w:t>джет</w:t>
      </w:r>
      <w:r w:rsidR="000B0959">
        <w:rPr>
          <w:rFonts w:ascii="Times New Roman" w:hAnsi="Times New Roman" w:cs="Times New Roman"/>
          <w:noProof/>
          <w:sz w:val="24"/>
          <w:szCs w:val="24"/>
          <w:lang w:eastAsia="ru-RU"/>
        </w:rPr>
        <w:t>е</w:t>
      </w:r>
      <w:r w:rsidR="00A416A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автономного округа </w:t>
      </w:r>
      <w:r w:rsidR="001B6FEC">
        <w:rPr>
          <w:rFonts w:ascii="Times New Roman" w:hAnsi="Times New Roman" w:cs="Times New Roman"/>
          <w:noProof/>
          <w:sz w:val="24"/>
          <w:szCs w:val="24"/>
          <w:lang w:eastAsia="ru-RU"/>
        </w:rPr>
        <w:t>за</w:t>
      </w:r>
      <w:r w:rsidR="00A416A5">
        <w:rPr>
          <w:rFonts w:ascii="Times New Roman" w:hAnsi="Times New Roman" w:cs="Times New Roman"/>
          <w:noProof/>
          <w:sz w:val="24"/>
          <w:szCs w:val="24"/>
          <w:lang w:eastAsia="ru-RU"/>
        </w:rPr>
        <w:t>планир</w:t>
      </w:r>
      <w:r w:rsidR="001B6FEC">
        <w:rPr>
          <w:rFonts w:ascii="Times New Roman" w:hAnsi="Times New Roman" w:cs="Times New Roman"/>
          <w:noProof/>
          <w:sz w:val="24"/>
          <w:szCs w:val="24"/>
          <w:lang w:eastAsia="ru-RU"/>
        </w:rPr>
        <w:t>ованы</w:t>
      </w: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бе</w:t>
      </w:r>
      <w:r w:rsidR="004663E8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звозмездны</w:t>
      </w:r>
      <w:r w:rsidR="009811C7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е</w:t>
      </w:r>
      <w:r w:rsidR="004663E8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поступлени</w:t>
      </w:r>
      <w:r w:rsidR="009811C7" w:rsidRPr="00C86801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я</w:t>
      </w:r>
      <w:r w:rsidR="00273368"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91642A" w:rsidRPr="00C86801">
        <w:rPr>
          <w:rFonts w:ascii="Times New Roman" w:hAnsi="Times New Roman" w:cs="Times New Roman"/>
          <w:sz w:val="24"/>
          <w:szCs w:val="24"/>
        </w:rPr>
        <w:t>(</w:t>
      </w:r>
      <w:r w:rsidR="00EF69CB">
        <w:rPr>
          <w:rFonts w:ascii="Times New Roman" w:hAnsi="Times New Roman" w:cs="Times New Roman"/>
          <w:sz w:val="24"/>
          <w:szCs w:val="24"/>
        </w:rPr>
        <w:t>т</w:t>
      </w:r>
      <w:r w:rsidR="0091642A" w:rsidRPr="00C86801">
        <w:rPr>
          <w:rFonts w:ascii="Times New Roman" w:hAnsi="Times New Roman" w:cs="Times New Roman"/>
          <w:sz w:val="24"/>
          <w:szCs w:val="24"/>
        </w:rPr>
        <w:t>абл</w:t>
      </w:r>
      <w:r w:rsidR="00EF69CB">
        <w:rPr>
          <w:rFonts w:ascii="Times New Roman" w:hAnsi="Times New Roman" w:cs="Times New Roman"/>
          <w:sz w:val="24"/>
          <w:szCs w:val="24"/>
        </w:rPr>
        <w:t xml:space="preserve">ица </w:t>
      </w:r>
      <w:r w:rsidR="002C6CB9">
        <w:rPr>
          <w:rFonts w:ascii="Times New Roman" w:hAnsi="Times New Roman" w:cs="Times New Roman"/>
          <w:sz w:val="24"/>
          <w:szCs w:val="24"/>
        </w:rPr>
        <w:t>6</w:t>
      </w:r>
      <w:r w:rsidR="0091642A" w:rsidRPr="00C86801">
        <w:rPr>
          <w:rFonts w:ascii="Times New Roman" w:hAnsi="Times New Roman" w:cs="Times New Roman"/>
          <w:sz w:val="24"/>
          <w:szCs w:val="24"/>
        </w:rPr>
        <w:t>).</w:t>
      </w:r>
    </w:p>
    <w:p w:rsidR="002C6CB9" w:rsidRDefault="002C6CB9" w:rsidP="005A4BC4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DD2716" w:rsidRPr="00C86801" w:rsidRDefault="00F56D34" w:rsidP="005A4BC4">
      <w:pPr>
        <w:tabs>
          <w:tab w:val="left" w:pos="930"/>
        </w:tabs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C86801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 xml:space="preserve">Таблица </w:t>
      </w:r>
      <w:r w:rsidR="002C6CB9">
        <w:rPr>
          <w:rFonts w:ascii="Times New Roman" w:hAnsi="Times New Roman" w:cs="Times New Roman"/>
          <w:noProof/>
          <w:sz w:val="24"/>
          <w:szCs w:val="24"/>
          <w:lang w:eastAsia="ru-RU"/>
        </w:rPr>
        <w:t>6</w:t>
      </w:r>
    </w:p>
    <w:p w:rsidR="00DD2716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Динамика и структура безвозмездных поступлений </w:t>
      </w:r>
    </w:p>
    <w:p w:rsidR="0092047A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бюджета Ханты-Мансийского автономного округа – Югры </w:t>
      </w:r>
    </w:p>
    <w:p w:rsidR="00DD2716" w:rsidRPr="008A7DD7" w:rsidRDefault="00DD2716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на 20</w:t>
      </w:r>
      <w:r w:rsidR="00596CAF">
        <w:rPr>
          <w:rFonts w:ascii="Times New Roman" w:hAnsi="Times New Roman" w:cs="Times New Roman"/>
          <w:noProof/>
          <w:sz w:val="24"/>
          <w:szCs w:val="24"/>
          <w:lang w:eastAsia="ru-RU"/>
        </w:rPr>
        <w:t>20</w:t>
      </w: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>-202</w:t>
      </w:r>
      <w:r w:rsidR="00596CAF">
        <w:rPr>
          <w:rFonts w:ascii="Times New Roman" w:hAnsi="Times New Roman" w:cs="Times New Roman"/>
          <w:noProof/>
          <w:sz w:val="24"/>
          <w:szCs w:val="24"/>
          <w:lang w:eastAsia="ru-RU"/>
        </w:rPr>
        <w:t>3</w:t>
      </w:r>
      <w:r w:rsidRPr="008A7DD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годы</w:t>
      </w:r>
    </w:p>
    <w:p w:rsidR="00C86801" w:rsidRPr="00C86801" w:rsidRDefault="00C86801" w:rsidP="00C86801">
      <w:pPr>
        <w:tabs>
          <w:tab w:val="left" w:pos="930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</w:p>
    <w:tbl>
      <w:tblPr>
        <w:tblStyle w:val="a6"/>
        <w:tblW w:w="4870" w:type="pct"/>
        <w:tblInd w:w="108" w:type="dxa"/>
        <w:tblLook w:val="04A0" w:firstRow="1" w:lastRow="0" w:firstColumn="1" w:lastColumn="0" w:noHBand="0" w:noVBand="1"/>
      </w:tblPr>
      <w:tblGrid>
        <w:gridCol w:w="2814"/>
        <w:gridCol w:w="1056"/>
        <w:gridCol w:w="609"/>
        <w:gridCol w:w="1056"/>
        <w:gridCol w:w="615"/>
        <w:gridCol w:w="1048"/>
        <w:gridCol w:w="609"/>
        <w:gridCol w:w="1050"/>
        <w:gridCol w:w="604"/>
      </w:tblGrid>
      <w:tr w:rsidR="00C652EE" w:rsidRPr="001A1D25" w:rsidTr="00354EB5">
        <w:tc>
          <w:tcPr>
            <w:tcW w:w="1487" w:type="pct"/>
            <w:vMerge w:val="restart"/>
            <w:vAlign w:val="center"/>
          </w:tcPr>
          <w:p w:rsidR="00733A9C" w:rsidRPr="0069553C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Вид доходов</w:t>
            </w:r>
          </w:p>
        </w:tc>
        <w:tc>
          <w:tcPr>
            <w:tcW w:w="880" w:type="pct"/>
            <w:gridSpan w:val="2"/>
            <w:vAlign w:val="center"/>
          </w:tcPr>
          <w:p w:rsidR="00661CEF" w:rsidRPr="00661CEF" w:rsidRDefault="00596CAF" w:rsidP="00661CEF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2020</w:t>
            </w:r>
            <w:r w:rsidR="00661CEF" w:rsidRPr="00661CE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(Закон</w:t>
            </w:r>
          </w:p>
          <w:p w:rsidR="00733A9C" w:rsidRPr="0069553C" w:rsidRDefault="00661CEF" w:rsidP="00596CAF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№ </w:t>
            </w:r>
            <w:r w:rsidR="00596CA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-оз)</w:t>
            </w:r>
          </w:p>
        </w:tc>
        <w:tc>
          <w:tcPr>
            <w:tcW w:w="883" w:type="pct"/>
            <w:gridSpan w:val="2"/>
            <w:vAlign w:val="center"/>
          </w:tcPr>
          <w:p w:rsidR="00733A9C" w:rsidRPr="0069553C" w:rsidRDefault="00733A9C" w:rsidP="00884145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</w:t>
            </w:r>
            <w:r w:rsidR="0088414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</w:t>
            </w:r>
            <w:r w:rsidR="00596CA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1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876" w:type="pct"/>
            <w:gridSpan w:val="2"/>
            <w:vAlign w:val="center"/>
          </w:tcPr>
          <w:p w:rsidR="00733A9C" w:rsidRPr="0069553C" w:rsidRDefault="00733A9C" w:rsidP="00596CAF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202</w:t>
            </w:r>
            <w:r w:rsidR="00596CA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  <w:tc>
          <w:tcPr>
            <w:tcW w:w="874" w:type="pct"/>
            <w:gridSpan w:val="2"/>
            <w:vAlign w:val="center"/>
          </w:tcPr>
          <w:p w:rsidR="00733A9C" w:rsidRPr="0069553C" w:rsidRDefault="00733A9C" w:rsidP="00596CAF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202</w:t>
            </w:r>
            <w:r w:rsidR="00596CAF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3</w:t>
            </w:r>
            <w:r w:rsidRPr="0069553C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 год (проект)</w:t>
            </w:r>
          </w:p>
        </w:tc>
      </w:tr>
      <w:tr w:rsidR="00C652EE" w:rsidRPr="001A1D25" w:rsidTr="00AD419E">
        <w:tc>
          <w:tcPr>
            <w:tcW w:w="1487" w:type="pct"/>
            <w:vMerge/>
          </w:tcPr>
          <w:p w:rsidR="00733A9C" w:rsidRPr="001A1D25" w:rsidRDefault="00733A9C" w:rsidP="000704A1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</w:tc>
        <w:tc>
          <w:tcPr>
            <w:tcW w:w="558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22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58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25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54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Сумма, тыс. руб.</w:t>
            </w:r>
          </w:p>
        </w:tc>
        <w:tc>
          <w:tcPr>
            <w:tcW w:w="322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  <w:tc>
          <w:tcPr>
            <w:tcW w:w="555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Сумма, </w:t>
            </w:r>
          </w:p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319" w:type="pct"/>
            <w:vAlign w:val="center"/>
          </w:tcPr>
          <w:p w:rsidR="00733A9C" w:rsidRPr="001A1D25" w:rsidRDefault="00733A9C" w:rsidP="000704A1">
            <w:pPr>
              <w:tabs>
                <w:tab w:val="left" w:pos="930"/>
              </w:tabs>
              <w:jc w:val="center"/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Уд. вес, %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1A1D25" w:rsidRDefault="00354EB5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2 550 680,7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558" w:type="pct"/>
            <w:vAlign w:val="center"/>
          </w:tcPr>
          <w:p w:rsidR="00354EB5" w:rsidRPr="0069553C" w:rsidRDefault="00FD1B18" w:rsidP="000524CB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1 5</w:t>
            </w:r>
            <w:r w:rsidR="000524CB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83</w:t>
            </w: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 xml:space="preserve"> </w:t>
            </w:r>
            <w:r w:rsidR="000524CB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570</w:t>
            </w:r>
            <w:r w:rsidR="002B3BCE" w:rsidRPr="002B3BCE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,9</w:t>
            </w:r>
          </w:p>
        </w:tc>
        <w:tc>
          <w:tcPr>
            <w:tcW w:w="325" w:type="pct"/>
            <w:vAlign w:val="center"/>
          </w:tcPr>
          <w:p w:rsidR="00354EB5" w:rsidRPr="0069553C" w:rsidRDefault="00317E55" w:rsidP="000524CB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15,</w:t>
            </w:r>
            <w:r w:rsidR="000524CB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54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2B3BCE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1 510 952,9</w:t>
            </w:r>
          </w:p>
        </w:tc>
        <w:tc>
          <w:tcPr>
            <w:tcW w:w="322" w:type="pct"/>
            <w:vAlign w:val="center"/>
          </w:tcPr>
          <w:p w:rsidR="00354EB5" w:rsidRPr="0069553C" w:rsidRDefault="00317E55" w:rsidP="002B3BCE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15,</w:t>
            </w:r>
            <w:r w:rsidR="002B3BCE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55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2B3BCE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1 537 330,5</w:t>
            </w:r>
          </w:p>
        </w:tc>
        <w:tc>
          <w:tcPr>
            <w:tcW w:w="319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15,5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1A1D25" w:rsidRDefault="00354EB5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5 479 781,5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558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6 762 140,5</w:t>
            </w:r>
          </w:p>
        </w:tc>
        <w:tc>
          <w:tcPr>
            <w:tcW w:w="325" w:type="pct"/>
            <w:vAlign w:val="center"/>
          </w:tcPr>
          <w:p w:rsidR="00354EB5" w:rsidRPr="0069553C" w:rsidRDefault="002B3BCE" w:rsidP="000524CB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66,</w:t>
            </w:r>
            <w:r w:rsidR="000524CB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6 485 891,2</w:t>
            </w:r>
          </w:p>
        </w:tc>
        <w:tc>
          <w:tcPr>
            <w:tcW w:w="322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555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6 580 608,9</w:t>
            </w:r>
          </w:p>
        </w:tc>
        <w:tc>
          <w:tcPr>
            <w:tcW w:w="319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66,1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1A1D25" w:rsidRDefault="00354EB5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11 237 103,4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56,2</w:t>
            </w:r>
          </w:p>
        </w:tc>
        <w:tc>
          <w:tcPr>
            <w:tcW w:w="558" w:type="pct"/>
            <w:vAlign w:val="center"/>
          </w:tcPr>
          <w:p w:rsidR="00354EB5" w:rsidRPr="0069553C" w:rsidRDefault="004D4F5F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1 055 723,0</w:t>
            </w:r>
          </w:p>
        </w:tc>
        <w:tc>
          <w:tcPr>
            <w:tcW w:w="325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10,4</w:t>
            </w:r>
          </w:p>
        </w:tc>
        <w:tc>
          <w:tcPr>
            <w:tcW w:w="554" w:type="pct"/>
            <w:vAlign w:val="center"/>
          </w:tcPr>
          <w:p w:rsidR="00354EB5" w:rsidRPr="0069553C" w:rsidRDefault="00B32223" w:rsidP="00B32223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491 620,8</w:t>
            </w:r>
          </w:p>
        </w:tc>
        <w:tc>
          <w:tcPr>
            <w:tcW w:w="322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555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238 867,2</w:t>
            </w:r>
          </w:p>
        </w:tc>
        <w:tc>
          <w:tcPr>
            <w:tcW w:w="319" w:type="pct"/>
            <w:vAlign w:val="center"/>
          </w:tcPr>
          <w:p w:rsidR="00354EB5" w:rsidRPr="0069553C" w:rsidRDefault="00317E5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2,4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1A1D25" w:rsidRDefault="00354EB5" w:rsidP="00C652EE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 xml:space="preserve">Безвозмездные поступления от государственных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(</w:t>
            </w: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муниципальных) организаций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1 237 799,5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558" w:type="pct"/>
            <w:vAlign w:val="center"/>
          </w:tcPr>
          <w:p w:rsidR="00354EB5" w:rsidRPr="0069553C" w:rsidRDefault="004D4F5F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716 083,8</w:t>
            </w:r>
          </w:p>
        </w:tc>
        <w:tc>
          <w:tcPr>
            <w:tcW w:w="325" w:type="pct"/>
            <w:vAlign w:val="center"/>
          </w:tcPr>
          <w:p w:rsidR="00354EB5" w:rsidRPr="0069553C" w:rsidRDefault="00317E5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7,1</w:t>
            </w:r>
          </w:p>
        </w:tc>
        <w:tc>
          <w:tcPr>
            <w:tcW w:w="554" w:type="pct"/>
            <w:vAlign w:val="center"/>
          </w:tcPr>
          <w:p w:rsidR="00354EB5" w:rsidRPr="0069553C" w:rsidRDefault="004D4F5F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1 161 691,9</w:t>
            </w:r>
          </w:p>
        </w:tc>
        <w:tc>
          <w:tcPr>
            <w:tcW w:w="322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12,0</w:t>
            </w:r>
          </w:p>
        </w:tc>
        <w:tc>
          <w:tcPr>
            <w:tcW w:w="555" w:type="pct"/>
            <w:vAlign w:val="center"/>
          </w:tcPr>
          <w:p w:rsidR="00354EB5" w:rsidRPr="0069553C" w:rsidRDefault="004D4F5F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1 596 290,7</w:t>
            </w:r>
          </w:p>
        </w:tc>
        <w:tc>
          <w:tcPr>
            <w:tcW w:w="319" w:type="pct"/>
            <w:vAlign w:val="center"/>
          </w:tcPr>
          <w:p w:rsidR="00354EB5" w:rsidRPr="0069553C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16,0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1A1D25" w:rsidRDefault="00354EB5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</w:pPr>
            <w:r w:rsidRPr="001A1D25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t>Другие безвозмездные поступления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-508 606,6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-2,5</w:t>
            </w:r>
          </w:p>
        </w:tc>
        <w:tc>
          <w:tcPr>
            <w:tcW w:w="558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5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4" w:type="pct"/>
            <w:vAlign w:val="center"/>
          </w:tcPr>
          <w:p w:rsidR="00354EB5" w:rsidRPr="0069553C" w:rsidRDefault="00354EB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22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555" w:type="pct"/>
            <w:vAlign w:val="center"/>
          </w:tcPr>
          <w:p w:rsidR="00354EB5" w:rsidRPr="0069553C" w:rsidRDefault="00354EB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</w:p>
        </w:tc>
        <w:tc>
          <w:tcPr>
            <w:tcW w:w="319" w:type="pct"/>
            <w:vAlign w:val="center"/>
          </w:tcPr>
          <w:p w:rsidR="00354EB5" w:rsidRPr="0069553C" w:rsidRDefault="00B32223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  <w:t>-</w:t>
            </w:r>
          </w:p>
        </w:tc>
      </w:tr>
      <w:tr w:rsidR="00354EB5" w:rsidRPr="001A1D25" w:rsidTr="00AD419E">
        <w:tc>
          <w:tcPr>
            <w:tcW w:w="1487" w:type="pct"/>
            <w:vAlign w:val="center"/>
          </w:tcPr>
          <w:p w:rsidR="00354EB5" w:rsidRPr="007D7B2B" w:rsidRDefault="00354EB5" w:rsidP="0069553C">
            <w:pPr>
              <w:tabs>
                <w:tab w:val="left" w:pos="930"/>
              </w:tabs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</w:pPr>
            <w:r w:rsidRPr="007D7B2B">
              <w:rPr>
                <w:rFonts w:ascii="Times New Roman" w:hAnsi="Times New Roman" w:cs="Times New Roman"/>
                <w:b/>
                <w:noProof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58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19 996 758,5</w:t>
            </w:r>
          </w:p>
        </w:tc>
        <w:tc>
          <w:tcPr>
            <w:tcW w:w="322" w:type="pct"/>
            <w:vAlign w:val="center"/>
          </w:tcPr>
          <w:p w:rsidR="00354EB5" w:rsidRPr="00354EB5" w:rsidRDefault="00354EB5" w:rsidP="00354EB5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 w:rsidRPr="00354EB5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58" w:type="pct"/>
            <w:vAlign w:val="center"/>
          </w:tcPr>
          <w:p w:rsidR="00354EB5" w:rsidRPr="00354EB5" w:rsidRDefault="000524CB" w:rsidP="000524CB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10 117 518,2</w:t>
            </w:r>
          </w:p>
        </w:tc>
        <w:tc>
          <w:tcPr>
            <w:tcW w:w="325" w:type="pct"/>
            <w:vAlign w:val="center"/>
          </w:tcPr>
          <w:p w:rsidR="00354EB5" w:rsidRPr="007D7B2B" w:rsidRDefault="00354EB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54" w:type="pct"/>
            <w:vAlign w:val="center"/>
          </w:tcPr>
          <w:p w:rsidR="00354EB5" w:rsidRPr="007D7B2B" w:rsidRDefault="002B3BCE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9 650 156,8</w:t>
            </w:r>
          </w:p>
        </w:tc>
        <w:tc>
          <w:tcPr>
            <w:tcW w:w="322" w:type="pct"/>
            <w:vAlign w:val="center"/>
          </w:tcPr>
          <w:p w:rsidR="00354EB5" w:rsidRPr="007D7B2B" w:rsidRDefault="00354EB5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55" w:type="pct"/>
            <w:vAlign w:val="center"/>
          </w:tcPr>
          <w:p w:rsidR="00354EB5" w:rsidRPr="007D7B2B" w:rsidRDefault="002B3BCE" w:rsidP="00B32223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9 953 097,3</w:t>
            </w:r>
          </w:p>
        </w:tc>
        <w:tc>
          <w:tcPr>
            <w:tcW w:w="319" w:type="pct"/>
            <w:vAlign w:val="center"/>
          </w:tcPr>
          <w:p w:rsidR="00354EB5" w:rsidRPr="007D7B2B" w:rsidRDefault="006E0540" w:rsidP="0069553C">
            <w:pPr>
              <w:tabs>
                <w:tab w:val="left" w:pos="930"/>
              </w:tabs>
              <w:jc w:val="right"/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100</w:t>
            </w:r>
            <w:r w:rsidR="00354EB5">
              <w:rPr>
                <w:rFonts w:ascii="Times New Roman" w:hAnsi="Times New Roman" w:cs="Times New Roman"/>
                <w:b/>
                <w:noProof/>
                <w:sz w:val="16"/>
                <w:szCs w:val="16"/>
                <w:lang w:eastAsia="ru-RU"/>
              </w:rPr>
              <w:t>,0</w:t>
            </w:r>
          </w:p>
        </w:tc>
      </w:tr>
    </w:tbl>
    <w:p w:rsidR="000F6DC3" w:rsidRDefault="000F6DC3" w:rsidP="005055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5A4BC4" w:rsidRPr="00C86801" w:rsidRDefault="005A4BC4" w:rsidP="0050552B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801">
        <w:rPr>
          <w:rFonts w:ascii="Times New Roman" w:hAnsi="Times New Roman"/>
          <w:bCs/>
          <w:sz w:val="24"/>
          <w:szCs w:val="24"/>
        </w:rPr>
        <w:t>Общая сумма безвозмездных поступлений составила:</w:t>
      </w:r>
    </w:p>
    <w:p w:rsidR="005A4BC4" w:rsidRPr="00C86801" w:rsidRDefault="005A4BC4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86801">
        <w:rPr>
          <w:rFonts w:ascii="Times New Roman" w:hAnsi="Times New Roman"/>
          <w:bCs/>
          <w:sz w:val="24"/>
          <w:szCs w:val="24"/>
        </w:rPr>
        <w:t>на 20</w:t>
      </w:r>
      <w:r w:rsidR="00F642DA">
        <w:rPr>
          <w:rFonts w:ascii="Times New Roman" w:hAnsi="Times New Roman"/>
          <w:bCs/>
          <w:sz w:val="24"/>
          <w:szCs w:val="24"/>
        </w:rPr>
        <w:t>2</w:t>
      </w:r>
      <w:r w:rsidR="00354EB5">
        <w:rPr>
          <w:rFonts w:ascii="Times New Roman" w:hAnsi="Times New Roman"/>
          <w:bCs/>
          <w:sz w:val="24"/>
          <w:szCs w:val="24"/>
        </w:rPr>
        <w:t>1</w:t>
      </w:r>
      <w:r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 w:rsidR="00E92815">
        <w:rPr>
          <w:rFonts w:ascii="Times New Roman" w:hAnsi="Times New Roman"/>
          <w:bCs/>
          <w:sz w:val="24"/>
          <w:szCs w:val="24"/>
        </w:rPr>
        <w:t>10</w:t>
      </w:r>
      <w:r w:rsidR="000524CB">
        <w:rPr>
          <w:rFonts w:ascii="Times New Roman" w:hAnsi="Times New Roman"/>
          <w:bCs/>
          <w:sz w:val="24"/>
          <w:szCs w:val="24"/>
        </w:rPr>
        <w:t> 117 518,2</w:t>
      </w:r>
      <w:r w:rsidR="00317E55">
        <w:rPr>
          <w:rFonts w:ascii="Times New Roman" w:hAnsi="Times New Roman"/>
          <w:bCs/>
          <w:sz w:val="24"/>
          <w:szCs w:val="24"/>
        </w:rPr>
        <w:t xml:space="preserve"> </w:t>
      </w:r>
      <w:r w:rsidRPr="00C86801">
        <w:rPr>
          <w:rFonts w:ascii="Times New Roman" w:hAnsi="Times New Roman"/>
          <w:bCs/>
          <w:sz w:val="24"/>
          <w:szCs w:val="24"/>
        </w:rPr>
        <w:t xml:space="preserve">тыс. рублей; </w:t>
      </w:r>
    </w:p>
    <w:p w:rsidR="005A4BC4" w:rsidRPr="00C86801" w:rsidRDefault="00354EB5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2022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 w:rsidR="002B3BCE">
        <w:rPr>
          <w:rFonts w:ascii="Times New Roman" w:hAnsi="Times New Roman"/>
          <w:bCs/>
          <w:sz w:val="24"/>
          <w:szCs w:val="24"/>
        </w:rPr>
        <w:t>9 650 156,8</w:t>
      </w:r>
      <w:r w:rsidR="00E15A82">
        <w:rPr>
          <w:rFonts w:ascii="Times New Roman" w:hAnsi="Times New Roman"/>
          <w:bCs/>
          <w:sz w:val="24"/>
          <w:szCs w:val="24"/>
        </w:rPr>
        <w:t xml:space="preserve"> т</w:t>
      </w:r>
      <w:r w:rsidR="005A4BC4" w:rsidRPr="00C86801">
        <w:rPr>
          <w:rFonts w:ascii="Times New Roman" w:hAnsi="Times New Roman"/>
          <w:bCs/>
          <w:sz w:val="24"/>
          <w:szCs w:val="24"/>
        </w:rPr>
        <w:t>ыс. рублей;</w:t>
      </w:r>
    </w:p>
    <w:p w:rsidR="005A4BC4" w:rsidRPr="00C86801" w:rsidRDefault="00354EB5" w:rsidP="0050552B">
      <w:pPr>
        <w:suppressAutoHyphens/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2023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год – </w:t>
      </w:r>
      <w:r w:rsidR="002B3BCE">
        <w:rPr>
          <w:rFonts w:ascii="Times New Roman" w:hAnsi="Times New Roman"/>
          <w:bCs/>
          <w:sz w:val="24"/>
          <w:szCs w:val="24"/>
        </w:rPr>
        <w:t>9 953 097,3</w:t>
      </w:r>
      <w:r w:rsidR="005A4BC4" w:rsidRPr="00C86801">
        <w:rPr>
          <w:rFonts w:ascii="Times New Roman" w:hAnsi="Times New Roman"/>
          <w:bCs/>
          <w:sz w:val="24"/>
          <w:szCs w:val="24"/>
        </w:rPr>
        <w:t xml:space="preserve"> тыс. рублей.</w:t>
      </w:r>
    </w:p>
    <w:p w:rsidR="00273368" w:rsidRPr="00C86801" w:rsidRDefault="00273368" w:rsidP="00273368">
      <w:pPr>
        <w:pStyle w:val="Default"/>
        <w:spacing w:line="360" w:lineRule="auto"/>
        <w:ind w:firstLine="709"/>
        <w:jc w:val="both"/>
        <w:rPr>
          <w:color w:val="auto"/>
        </w:rPr>
      </w:pPr>
      <w:r w:rsidRPr="00C86801">
        <w:rPr>
          <w:color w:val="auto"/>
        </w:rPr>
        <w:t>Основную часть безвозмездных поступлений составляют межбюджетные трансферты из федерального бюджета. Объем запланированных средств является предварительным и предусмотрен в соответствии с проектом закона о федеральном бюджете на 20</w:t>
      </w:r>
      <w:r w:rsidR="00F642DA">
        <w:rPr>
          <w:color w:val="auto"/>
        </w:rPr>
        <w:t>2</w:t>
      </w:r>
      <w:r w:rsidR="00354EB5">
        <w:rPr>
          <w:color w:val="auto"/>
        </w:rPr>
        <w:t>1</w:t>
      </w:r>
      <w:r w:rsidRPr="00C86801">
        <w:rPr>
          <w:color w:val="auto"/>
        </w:rPr>
        <w:t>-202</w:t>
      </w:r>
      <w:r w:rsidR="00354EB5">
        <w:rPr>
          <w:color w:val="auto"/>
        </w:rPr>
        <w:t>3</w:t>
      </w:r>
      <w:r w:rsidRPr="00C86801">
        <w:rPr>
          <w:color w:val="auto"/>
        </w:rPr>
        <w:t xml:space="preserve"> год</w:t>
      </w:r>
      <w:r w:rsidR="008A37BC">
        <w:rPr>
          <w:color w:val="auto"/>
        </w:rPr>
        <w:t>ы</w:t>
      </w:r>
      <w:r w:rsidRPr="00C86801">
        <w:rPr>
          <w:color w:val="auto"/>
        </w:rPr>
        <w:t>.</w:t>
      </w:r>
    </w:p>
    <w:p w:rsidR="0091642A" w:rsidRPr="00C86801" w:rsidRDefault="003F3805" w:rsidP="0091642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86801">
        <w:rPr>
          <w:rFonts w:ascii="Times New Roman" w:hAnsi="Times New Roman" w:cs="Times New Roman"/>
          <w:sz w:val="24"/>
          <w:szCs w:val="24"/>
        </w:rPr>
        <w:t>Более подробная информация о п</w:t>
      </w:r>
      <w:r w:rsidR="0091642A" w:rsidRPr="00C86801">
        <w:rPr>
          <w:rFonts w:ascii="Times New Roman" w:hAnsi="Times New Roman" w:cs="Times New Roman"/>
          <w:sz w:val="24"/>
          <w:szCs w:val="24"/>
        </w:rPr>
        <w:t>рогнозируемы</w:t>
      </w:r>
      <w:r w:rsidRPr="00C86801">
        <w:rPr>
          <w:rFonts w:ascii="Times New Roman" w:hAnsi="Times New Roman" w:cs="Times New Roman"/>
          <w:sz w:val="24"/>
          <w:szCs w:val="24"/>
        </w:rPr>
        <w:t>х источниках</w:t>
      </w:r>
      <w:r w:rsidR="0091642A" w:rsidRPr="00C86801">
        <w:rPr>
          <w:rFonts w:ascii="Times New Roman" w:hAnsi="Times New Roman" w:cs="Times New Roman"/>
          <w:sz w:val="24"/>
          <w:szCs w:val="24"/>
        </w:rPr>
        <w:t xml:space="preserve"> доходов бюджета Ханты-Мансийского автономного округа – Югры </w:t>
      </w:r>
      <w:r w:rsidR="008A37BC">
        <w:rPr>
          <w:rFonts w:ascii="Times New Roman" w:hAnsi="Times New Roman" w:cs="Times New Roman"/>
          <w:sz w:val="24"/>
          <w:szCs w:val="24"/>
        </w:rPr>
        <w:t>на 20</w:t>
      </w:r>
      <w:r w:rsidR="00F642DA">
        <w:rPr>
          <w:rFonts w:ascii="Times New Roman" w:hAnsi="Times New Roman" w:cs="Times New Roman"/>
          <w:sz w:val="24"/>
          <w:szCs w:val="24"/>
        </w:rPr>
        <w:t>2</w:t>
      </w:r>
      <w:r w:rsidR="00354EB5">
        <w:rPr>
          <w:rFonts w:ascii="Times New Roman" w:hAnsi="Times New Roman" w:cs="Times New Roman"/>
          <w:sz w:val="24"/>
          <w:szCs w:val="24"/>
        </w:rPr>
        <w:t>1</w:t>
      </w:r>
      <w:r w:rsidR="008A37BC">
        <w:rPr>
          <w:rFonts w:ascii="Times New Roman" w:hAnsi="Times New Roman" w:cs="Times New Roman"/>
          <w:sz w:val="24"/>
          <w:szCs w:val="24"/>
        </w:rPr>
        <w:t xml:space="preserve"> </w:t>
      </w:r>
      <w:r w:rsidR="0077577F">
        <w:rPr>
          <w:rFonts w:ascii="Times New Roman" w:hAnsi="Times New Roman" w:cs="Times New Roman"/>
          <w:sz w:val="24"/>
          <w:szCs w:val="24"/>
        </w:rPr>
        <w:t>– 202</w:t>
      </w:r>
      <w:r w:rsidR="00354EB5">
        <w:rPr>
          <w:rFonts w:ascii="Times New Roman" w:hAnsi="Times New Roman" w:cs="Times New Roman"/>
          <w:sz w:val="24"/>
          <w:szCs w:val="24"/>
        </w:rPr>
        <w:t>3</w:t>
      </w:r>
      <w:r w:rsidR="0077577F">
        <w:rPr>
          <w:rFonts w:ascii="Times New Roman" w:hAnsi="Times New Roman" w:cs="Times New Roman"/>
          <w:sz w:val="24"/>
          <w:szCs w:val="24"/>
        </w:rPr>
        <w:t xml:space="preserve"> </w:t>
      </w:r>
      <w:r w:rsidR="008A37BC">
        <w:rPr>
          <w:rFonts w:ascii="Times New Roman" w:hAnsi="Times New Roman" w:cs="Times New Roman"/>
          <w:sz w:val="24"/>
          <w:szCs w:val="24"/>
        </w:rPr>
        <w:t>год</w:t>
      </w:r>
      <w:r w:rsidR="0077577F">
        <w:rPr>
          <w:rFonts w:ascii="Times New Roman" w:hAnsi="Times New Roman" w:cs="Times New Roman"/>
          <w:sz w:val="24"/>
          <w:szCs w:val="24"/>
        </w:rPr>
        <w:t xml:space="preserve">ы </w:t>
      </w:r>
      <w:r w:rsidR="0091642A" w:rsidRPr="00C86801">
        <w:rPr>
          <w:rFonts w:ascii="Times New Roman" w:hAnsi="Times New Roman" w:cs="Times New Roman"/>
          <w:sz w:val="24"/>
          <w:szCs w:val="24"/>
        </w:rPr>
        <w:t>представлен</w:t>
      </w:r>
      <w:r w:rsidRPr="00C86801">
        <w:rPr>
          <w:rFonts w:ascii="Times New Roman" w:hAnsi="Times New Roman" w:cs="Times New Roman"/>
          <w:sz w:val="24"/>
          <w:szCs w:val="24"/>
        </w:rPr>
        <w:t xml:space="preserve">а в </w:t>
      </w:r>
      <w:r w:rsidR="008A37BC" w:rsidRPr="008A37BC">
        <w:rPr>
          <w:rFonts w:ascii="Times New Roman" w:hAnsi="Times New Roman" w:cs="Times New Roman"/>
          <w:i/>
          <w:sz w:val="24"/>
          <w:szCs w:val="24"/>
        </w:rPr>
        <w:t>п</w:t>
      </w:r>
      <w:r w:rsidR="0091642A" w:rsidRPr="008A37BC">
        <w:rPr>
          <w:rFonts w:ascii="Times New Roman" w:hAnsi="Times New Roman" w:cs="Times New Roman"/>
          <w:i/>
          <w:sz w:val="24"/>
          <w:szCs w:val="24"/>
        </w:rPr>
        <w:t>риложени</w:t>
      </w:r>
      <w:r w:rsidR="001F1984" w:rsidRPr="008A37BC">
        <w:rPr>
          <w:rFonts w:ascii="Times New Roman" w:hAnsi="Times New Roman" w:cs="Times New Roman"/>
          <w:i/>
          <w:sz w:val="24"/>
          <w:szCs w:val="24"/>
        </w:rPr>
        <w:t>и</w:t>
      </w:r>
      <w:r w:rsidR="0091642A" w:rsidRPr="008A37BC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91642A" w:rsidRPr="00C86801">
        <w:rPr>
          <w:rFonts w:ascii="Times New Roman" w:hAnsi="Times New Roman" w:cs="Times New Roman"/>
          <w:sz w:val="24"/>
          <w:szCs w:val="24"/>
        </w:rPr>
        <w:t xml:space="preserve"> к настоящей пояснительной записке.</w:t>
      </w:r>
    </w:p>
    <w:sectPr w:rsidR="0091642A" w:rsidRPr="00C86801" w:rsidSect="00DD0BD0">
      <w:headerReference w:type="default" r:id="rId8"/>
      <w:pgSz w:w="11906" w:h="16838"/>
      <w:pgMar w:top="1389" w:right="707" w:bottom="709" w:left="1701" w:header="708" w:footer="708" w:gutter="0"/>
      <w:pgNumType w:start="17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ED5" w:rsidRDefault="00593ED5" w:rsidP="00255EF7">
      <w:pPr>
        <w:spacing w:after="0" w:line="240" w:lineRule="auto"/>
      </w:pPr>
      <w:r>
        <w:separator/>
      </w:r>
    </w:p>
  </w:endnote>
  <w:endnote w:type="continuationSeparator" w:id="0">
    <w:p w:rsidR="00593ED5" w:rsidRDefault="00593ED5" w:rsidP="00255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ED5" w:rsidRDefault="00593ED5" w:rsidP="00255EF7">
      <w:pPr>
        <w:spacing w:after="0" w:line="240" w:lineRule="auto"/>
      </w:pPr>
      <w:r>
        <w:separator/>
      </w:r>
    </w:p>
  </w:footnote>
  <w:footnote w:type="continuationSeparator" w:id="0">
    <w:p w:rsidR="00593ED5" w:rsidRDefault="00593ED5" w:rsidP="00255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158378"/>
      <w:docPartObj>
        <w:docPartGallery w:val="Page Numbers (Top of Page)"/>
        <w:docPartUnique/>
      </w:docPartObj>
    </w:sdtPr>
    <w:sdtEndPr/>
    <w:sdtContent>
      <w:p w:rsidR="00DD0BD0" w:rsidRDefault="00DD0BD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496">
          <w:rPr>
            <w:noProof/>
          </w:rPr>
          <w:t>1766</w:t>
        </w:r>
        <w:r>
          <w:fldChar w:fldCharType="end"/>
        </w:r>
      </w:p>
    </w:sdtContent>
  </w:sdt>
  <w:p w:rsidR="00593ED5" w:rsidRDefault="00593ED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836ECAE"/>
    <w:lvl w:ilvl="0">
      <w:numFmt w:val="bullet"/>
      <w:lvlText w:val="*"/>
      <w:lvlJc w:val="left"/>
    </w:lvl>
  </w:abstractNum>
  <w:abstractNum w:abstractNumId="1" w15:restartNumberingAfterBreak="0">
    <w:nsid w:val="268F680F"/>
    <w:multiLevelType w:val="hybridMultilevel"/>
    <w:tmpl w:val="C0D8D384"/>
    <w:lvl w:ilvl="0" w:tplc="01CA04E4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856D55"/>
    <w:multiLevelType w:val="hybridMultilevel"/>
    <w:tmpl w:val="70FCDEF6"/>
    <w:lvl w:ilvl="0" w:tplc="E65E3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A12"/>
    <w:rsid w:val="000003C8"/>
    <w:rsid w:val="0000097D"/>
    <w:rsid w:val="0000241D"/>
    <w:rsid w:val="00002A51"/>
    <w:rsid w:val="0000463E"/>
    <w:rsid w:val="00005A1B"/>
    <w:rsid w:val="000116D9"/>
    <w:rsid w:val="0001286C"/>
    <w:rsid w:val="00015BCD"/>
    <w:rsid w:val="00016A8A"/>
    <w:rsid w:val="000178FC"/>
    <w:rsid w:val="00021F7F"/>
    <w:rsid w:val="00022FE8"/>
    <w:rsid w:val="00024D7B"/>
    <w:rsid w:val="00025606"/>
    <w:rsid w:val="00027199"/>
    <w:rsid w:val="00030045"/>
    <w:rsid w:val="00033042"/>
    <w:rsid w:val="000330C3"/>
    <w:rsid w:val="00033589"/>
    <w:rsid w:val="00036C32"/>
    <w:rsid w:val="00037E9C"/>
    <w:rsid w:val="00040B58"/>
    <w:rsid w:val="000429DC"/>
    <w:rsid w:val="000448BC"/>
    <w:rsid w:val="00045D5A"/>
    <w:rsid w:val="0004676C"/>
    <w:rsid w:val="00047BE1"/>
    <w:rsid w:val="00051B4B"/>
    <w:rsid w:val="0005217C"/>
    <w:rsid w:val="000524CB"/>
    <w:rsid w:val="00052903"/>
    <w:rsid w:val="00054F6C"/>
    <w:rsid w:val="000569A3"/>
    <w:rsid w:val="00056C9F"/>
    <w:rsid w:val="0005776A"/>
    <w:rsid w:val="000602EB"/>
    <w:rsid w:val="0006043C"/>
    <w:rsid w:val="000619EE"/>
    <w:rsid w:val="000675EC"/>
    <w:rsid w:val="000704A1"/>
    <w:rsid w:val="000706DD"/>
    <w:rsid w:val="00070D7F"/>
    <w:rsid w:val="00072104"/>
    <w:rsid w:val="00072B7F"/>
    <w:rsid w:val="00075236"/>
    <w:rsid w:val="00077657"/>
    <w:rsid w:val="000776C9"/>
    <w:rsid w:val="00077D51"/>
    <w:rsid w:val="000813BE"/>
    <w:rsid w:val="0008556F"/>
    <w:rsid w:val="00087BA6"/>
    <w:rsid w:val="00090302"/>
    <w:rsid w:val="00093108"/>
    <w:rsid w:val="000938EE"/>
    <w:rsid w:val="00094285"/>
    <w:rsid w:val="00095D52"/>
    <w:rsid w:val="000A04AB"/>
    <w:rsid w:val="000A18DF"/>
    <w:rsid w:val="000A473B"/>
    <w:rsid w:val="000A765D"/>
    <w:rsid w:val="000A7B75"/>
    <w:rsid w:val="000B08B2"/>
    <w:rsid w:val="000B0959"/>
    <w:rsid w:val="000B45CE"/>
    <w:rsid w:val="000B5448"/>
    <w:rsid w:val="000B5725"/>
    <w:rsid w:val="000B66A7"/>
    <w:rsid w:val="000B78F9"/>
    <w:rsid w:val="000B7C66"/>
    <w:rsid w:val="000C0633"/>
    <w:rsid w:val="000C2E92"/>
    <w:rsid w:val="000C3608"/>
    <w:rsid w:val="000C470B"/>
    <w:rsid w:val="000C5F76"/>
    <w:rsid w:val="000C7C38"/>
    <w:rsid w:val="000D01BE"/>
    <w:rsid w:val="000D1082"/>
    <w:rsid w:val="000D33B8"/>
    <w:rsid w:val="000D49C9"/>
    <w:rsid w:val="000D4F5B"/>
    <w:rsid w:val="000D6F60"/>
    <w:rsid w:val="000E0B40"/>
    <w:rsid w:val="000E0E0B"/>
    <w:rsid w:val="000E244E"/>
    <w:rsid w:val="000E34BB"/>
    <w:rsid w:val="000E4998"/>
    <w:rsid w:val="000E4BE6"/>
    <w:rsid w:val="000E5F98"/>
    <w:rsid w:val="000F068E"/>
    <w:rsid w:val="000F305F"/>
    <w:rsid w:val="000F308A"/>
    <w:rsid w:val="000F3986"/>
    <w:rsid w:val="000F4057"/>
    <w:rsid w:val="000F4A3B"/>
    <w:rsid w:val="000F5DE9"/>
    <w:rsid w:val="000F69E5"/>
    <w:rsid w:val="000F6DC3"/>
    <w:rsid w:val="000F7EFC"/>
    <w:rsid w:val="00102FBA"/>
    <w:rsid w:val="0010495E"/>
    <w:rsid w:val="001059DD"/>
    <w:rsid w:val="001060DD"/>
    <w:rsid w:val="00106ABD"/>
    <w:rsid w:val="00107177"/>
    <w:rsid w:val="00115DF4"/>
    <w:rsid w:val="001170F7"/>
    <w:rsid w:val="0011715F"/>
    <w:rsid w:val="00117DDF"/>
    <w:rsid w:val="00121B4B"/>
    <w:rsid w:val="00123455"/>
    <w:rsid w:val="00124206"/>
    <w:rsid w:val="001251A5"/>
    <w:rsid w:val="001252D9"/>
    <w:rsid w:val="0013025D"/>
    <w:rsid w:val="0013100B"/>
    <w:rsid w:val="0013330F"/>
    <w:rsid w:val="00133E7F"/>
    <w:rsid w:val="00134DCC"/>
    <w:rsid w:val="00136F98"/>
    <w:rsid w:val="0014090F"/>
    <w:rsid w:val="00150A74"/>
    <w:rsid w:val="00150C80"/>
    <w:rsid w:val="00151356"/>
    <w:rsid w:val="00151AF5"/>
    <w:rsid w:val="00151C43"/>
    <w:rsid w:val="00152F5C"/>
    <w:rsid w:val="00155496"/>
    <w:rsid w:val="00156B97"/>
    <w:rsid w:val="0016186B"/>
    <w:rsid w:val="00164342"/>
    <w:rsid w:val="0017028B"/>
    <w:rsid w:val="00170760"/>
    <w:rsid w:val="001708E8"/>
    <w:rsid w:val="001713DB"/>
    <w:rsid w:val="00171730"/>
    <w:rsid w:val="00173DCE"/>
    <w:rsid w:val="001746F7"/>
    <w:rsid w:val="0017574A"/>
    <w:rsid w:val="0018091D"/>
    <w:rsid w:val="001811B6"/>
    <w:rsid w:val="001813D0"/>
    <w:rsid w:val="0018172B"/>
    <w:rsid w:val="00187B7B"/>
    <w:rsid w:val="00187ED9"/>
    <w:rsid w:val="00190198"/>
    <w:rsid w:val="0019582B"/>
    <w:rsid w:val="00197086"/>
    <w:rsid w:val="00197694"/>
    <w:rsid w:val="00197F76"/>
    <w:rsid w:val="001A1D25"/>
    <w:rsid w:val="001A5CEA"/>
    <w:rsid w:val="001B0C03"/>
    <w:rsid w:val="001B3791"/>
    <w:rsid w:val="001B4123"/>
    <w:rsid w:val="001B4241"/>
    <w:rsid w:val="001B42F6"/>
    <w:rsid w:val="001B6FEC"/>
    <w:rsid w:val="001C1430"/>
    <w:rsid w:val="001C3917"/>
    <w:rsid w:val="001C535D"/>
    <w:rsid w:val="001C5448"/>
    <w:rsid w:val="001C5C47"/>
    <w:rsid w:val="001C7CA0"/>
    <w:rsid w:val="001D1A96"/>
    <w:rsid w:val="001D2294"/>
    <w:rsid w:val="001D242D"/>
    <w:rsid w:val="001D5DFF"/>
    <w:rsid w:val="001D736E"/>
    <w:rsid w:val="001E362D"/>
    <w:rsid w:val="001E375B"/>
    <w:rsid w:val="001E5CF1"/>
    <w:rsid w:val="001F1830"/>
    <w:rsid w:val="001F1984"/>
    <w:rsid w:val="001F1A22"/>
    <w:rsid w:val="001F29CD"/>
    <w:rsid w:val="001F3CCC"/>
    <w:rsid w:val="001F4306"/>
    <w:rsid w:val="001F5E1F"/>
    <w:rsid w:val="001F697D"/>
    <w:rsid w:val="001F7CC4"/>
    <w:rsid w:val="00200864"/>
    <w:rsid w:val="00201001"/>
    <w:rsid w:val="00202908"/>
    <w:rsid w:val="00202E71"/>
    <w:rsid w:val="00202EB7"/>
    <w:rsid w:val="00207D06"/>
    <w:rsid w:val="002114D1"/>
    <w:rsid w:val="00212152"/>
    <w:rsid w:val="00215F53"/>
    <w:rsid w:val="00216FEA"/>
    <w:rsid w:val="002177EC"/>
    <w:rsid w:val="002214DE"/>
    <w:rsid w:val="0022169D"/>
    <w:rsid w:val="00225503"/>
    <w:rsid w:val="00226902"/>
    <w:rsid w:val="00230828"/>
    <w:rsid w:val="00231601"/>
    <w:rsid w:val="0023323C"/>
    <w:rsid w:val="002350FD"/>
    <w:rsid w:val="00235649"/>
    <w:rsid w:val="00240B60"/>
    <w:rsid w:val="0024120D"/>
    <w:rsid w:val="00241330"/>
    <w:rsid w:val="00241738"/>
    <w:rsid w:val="00243985"/>
    <w:rsid w:val="00243BB3"/>
    <w:rsid w:val="00243CFE"/>
    <w:rsid w:val="00244AED"/>
    <w:rsid w:val="00244DF0"/>
    <w:rsid w:val="00245AFB"/>
    <w:rsid w:val="00245F3F"/>
    <w:rsid w:val="0024605F"/>
    <w:rsid w:val="00250F1C"/>
    <w:rsid w:val="00255A81"/>
    <w:rsid w:val="00255EF7"/>
    <w:rsid w:val="00257704"/>
    <w:rsid w:val="00257CBE"/>
    <w:rsid w:val="00261A4C"/>
    <w:rsid w:val="00263C57"/>
    <w:rsid w:val="00264EA5"/>
    <w:rsid w:val="00265320"/>
    <w:rsid w:val="00273368"/>
    <w:rsid w:val="002741E2"/>
    <w:rsid w:val="00281E37"/>
    <w:rsid w:val="00282FD7"/>
    <w:rsid w:val="002846E1"/>
    <w:rsid w:val="00286850"/>
    <w:rsid w:val="0028701F"/>
    <w:rsid w:val="00292209"/>
    <w:rsid w:val="00293B24"/>
    <w:rsid w:val="00296D42"/>
    <w:rsid w:val="00297D72"/>
    <w:rsid w:val="002A010F"/>
    <w:rsid w:val="002A088C"/>
    <w:rsid w:val="002A16C6"/>
    <w:rsid w:val="002A2D76"/>
    <w:rsid w:val="002A46A7"/>
    <w:rsid w:val="002A4C6B"/>
    <w:rsid w:val="002B0FB6"/>
    <w:rsid w:val="002B2873"/>
    <w:rsid w:val="002B3BCE"/>
    <w:rsid w:val="002B48C5"/>
    <w:rsid w:val="002B668C"/>
    <w:rsid w:val="002B6BF3"/>
    <w:rsid w:val="002C2A5E"/>
    <w:rsid w:val="002C50AE"/>
    <w:rsid w:val="002C527E"/>
    <w:rsid w:val="002C68E0"/>
    <w:rsid w:val="002C6CB9"/>
    <w:rsid w:val="002C6E3B"/>
    <w:rsid w:val="002D4350"/>
    <w:rsid w:val="002D5ACF"/>
    <w:rsid w:val="002E0772"/>
    <w:rsid w:val="002E173F"/>
    <w:rsid w:val="002E17BB"/>
    <w:rsid w:val="002E2868"/>
    <w:rsid w:val="002E32DF"/>
    <w:rsid w:val="002E3A0F"/>
    <w:rsid w:val="002E3ED7"/>
    <w:rsid w:val="002E4B53"/>
    <w:rsid w:val="002E6025"/>
    <w:rsid w:val="002E6B3D"/>
    <w:rsid w:val="002F2DE3"/>
    <w:rsid w:val="002F32C3"/>
    <w:rsid w:val="002F4ADC"/>
    <w:rsid w:val="002F5557"/>
    <w:rsid w:val="002F6258"/>
    <w:rsid w:val="002F69EC"/>
    <w:rsid w:val="002F75D2"/>
    <w:rsid w:val="00300DA2"/>
    <w:rsid w:val="00302B76"/>
    <w:rsid w:val="00302CA6"/>
    <w:rsid w:val="00306BEA"/>
    <w:rsid w:val="00306CD5"/>
    <w:rsid w:val="00307284"/>
    <w:rsid w:val="00310CD7"/>
    <w:rsid w:val="00315EA2"/>
    <w:rsid w:val="00317938"/>
    <w:rsid w:val="00317E55"/>
    <w:rsid w:val="00317F9F"/>
    <w:rsid w:val="0032017D"/>
    <w:rsid w:val="00324F3B"/>
    <w:rsid w:val="003254BD"/>
    <w:rsid w:val="003258C6"/>
    <w:rsid w:val="00325BFC"/>
    <w:rsid w:val="00326243"/>
    <w:rsid w:val="003322A0"/>
    <w:rsid w:val="003329ED"/>
    <w:rsid w:val="00333996"/>
    <w:rsid w:val="00333BD0"/>
    <w:rsid w:val="0033413B"/>
    <w:rsid w:val="003349FC"/>
    <w:rsid w:val="003359CA"/>
    <w:rsid w:val="00336B0B"/>
    <w:rsid w:val="003374C1"/>
    <w:rsid w:val="0034023B"/>
    <w:rsid w:val="003402F8"/>
    <w:rsid w:val="003425D2"/>
    <w:rsid w:val="00344189"/>
    <w:rsid w:val="00344AC5"/>
    <w:rsid w:val="00345F92"/>
    <w:rsid w:val="00345FFC"/>
    <w:rsid w:val="00346A41"/>
    <w:rsid w:val="003505CA"/>
    <w:rsid w:val="003517CD"/>
    <w:rsid w:val="00352110"/>
    <w:rsid w:val="00352AA6"/>
    <w:rsid w:val="00353977"/>
    <w:rsid w:val="0035401D"/>
    <w:rsid w:val="00354EB5"/>
    <w:rsid w:val="003557D7"/>
    <w:rsid w:val="0035607C"/>
    <w:rsid w:val="003605BA"/>
    <w:rsid w:val="00360BC3"/>
    <w:rsid w:val="0036138A"/>
    <w:rsid w:val="00361920"/>
    <w:rsid w:val="003624E4"/>
    <w:rsid w:val="00362D7F"/>
    <w:rsid w:val="00363F2D"/>
    <w:rsid w:val="00364B3B"/>
    <w:rsid w:val="0036631C"/>
    <w:rsid w:val="00367677"/>
    <w:rsid w:val="003679A8"/>
    <w:rsid w:val="00370470"/>
    <w:rsid w:val="003705F7"/>
    <w:rsid w:val="00371199"/>
    <w:rsid w:val="0037120C"/>
    <w:rsid w:val="00372493"/>
    <w:rsid w:val="0037315D"/>
    <w:rsid w:val="003733C6"/>
    <w:rsid w:val="00374B5C"/>
    <w:rsid w:val="00375971"/>
    <w:rsid w:val="003765A9"/>
    <w:rsid w:val="00380344"/>
    <w:rsid w:val="003807F6"/>
    <w:rsid w:val="003831BE"/>
    <w:rsid w:val="00383261"/>
    <w:rsid w:val="003849D7"/>
    <w:rsid w:val="00384E7E"/>
    <w:rsid w:val="00385F18"/>
    <w:rsid w:val="0039703E"/>
    <w:rsid w:val="003A003A"/>
    <w:rsid w:val="003A0200"/>
    <w:rsid w:val="003A0B99"/>
    <w:rsid w:val="003A0C50"/>
    <w:rsid w:val="003A1B69"/>
    <w:rsid w:val="003A28FE"/>
    <w:rsid w:val="003A3886"/>
    <w:rsid w:val="003A6068"/>
    <w:rsid w:val="003B154B"/>
    <w:rsid w:val="003B1E15"/>
    <w:rsid w:val="003B4548"/>
    <w:rsid w:val="003B4BFD"/>
    <w:rsid w:val="003B5EC5"/>
    <w:rsid w:val="003C5AFE"/>
    <w:rsid w:val="003C6EC3"/>
    <w:rsid w:val="003C73C5"/>
    <w:rsid w:val="003D063A"/>
    <w:rsid w:val="003D0871"/>
    <w:rsid w:val="003D1467"/>
    <w:rsid w:val="003D369B"/>
    <w:rsid w:val="003D3FC2"/>
    <w:rsid w:val="003D6EC1"/>
    <w:rsid w:val="003D76E3"/>
    <w:rsid w:val="003D7CCC"/>
    <w:rsid w:val="003E0CCC"/>
    <w:rsid w:val="003E0D2F"/>
    <w:rsid w:val="003E0E29"/>
    <w:rsid w:val="003E12DA"/>
    <w:rsid w:val="003E1BE7"/>
    <w:rsid w:val="003E2FCE"/>
    <w:rsid w:val="003E56DF"/>
    <w:rsid w:val="003E7FE7"/>
    <w:rsid w:val="003F076B"/>
    <w:rsid w:val="003F34E9"/>
    <w:rsid w:val="003F3613"/>
    <w:rsid w:val="003F3805"/>
    <w:rsid w:val="003F5499"/>
    <w:rsid w:val="003F640C"/>
    <w:rsid w:val="003F670F"/>
    <w:rsid w:val="003F6F24"/>
    <w:rsid w:val="003F7043"/>
    <w:rsid w:val="003F75C3"/>
    <w:rsid w:val="003F791D"/>
    <w:rsid w:val="004001AC"/>
    <w:rsid w:val="00402FA2"/>
    <w:rsid w:val="0040447E"/>
    <w:rsid w:val="004105AA"/>
    <w:rsid w:val="00410A12"/>
    <w:rsid w:val="0041165A"/>
    <w:rsid w:val="004122BE"/>
    <w:rsid w:val="0041439B"/>
    <w:rsid w:val="00414C8A"/>
    <w:rsid w:val="004177C6"/>
    <w:rsid w:val="00417F14"/>
    <w:rsid w:val="0042158E"/>
    <w:rsid w:val="00421A94"/>
    <w:rsid w:val="004233A2"/>
    <w:rsid w:val="00423705"/>
    <w:rsid w:val="00424D47"/>
    <w:rsid w:val="00424DED"/>
    <w:rsid w:val="00430C67"/>
    <w:rsid w:val="00430D6A"/>
    <w:rsid w:val="004315F3"/>
    <w:rsid w:val="004330C9"/>
    <w:rsid w:val="00433539"/>
    <w:rsid w:val="004341C6"/>
    <w:rsid w:val="0043552A"/>
    <w:rsid w:val="00435966"/>
    <w:rsid w:val="00436DC3"/>
    <w:rsid w:val="00437467"/>
    <w:rsid w:val="0043779E"/>
    <w:rsid w:val="004379D8"/>
    <w:rsid w:val="00441D16"/>
    <w:rsid w:val="00443274"/>
    <w:rsid w:val="004445CF"/>
    <w:rsid w:val="004457CD"/>
    <w:rsid w:val="00446A69"/>
    <w:rsid w:val="00450072"/>
    <w:rsid w:val="00450FB8"/>
    <w:rsid w:val="004532B4"/>
    <w:rsid w:val="0045350F"/>
    <w:rsid w:val="0045444A"/>
    <w:rsid w:val="004575BC"/>
    <w:rsid w:val="004579E6"/>
    <w:rsid w:val="00462BF6"/>
    <w:rsid w:val="0046400A"/>
    <w:rsid w:val="004655B5"/>
    <w:rsid w:val="004656D7"/>
    <w:rsid w:val="004663E8"/>
    <w:rsid w:val="00466B41"/>
    <w:rsid w:val="004706F1"/>
    <w:rsid w:val="00471B3F"/>
    <w:rsid w:val="00481520"/>
    <w:rsid w:val="00482B48"/>
    <w:rsid w:val="00482FFB"/>
    <w:rsid w:val="004832F3"/>
    <w:rsid w:val="0048562C"/>
    <w:rsid w:val="00485EA8"/>
    <w:rsid w:val="0048602D"/>
    <w:rsid w:val="00490390"/>
    <w:rsid w:val="0049215F"/>
    <w:rsid w:val="004960A8"/>
    <w:rsid w:val="004A0E4F"/>
    <w:rsid w:val="004A29E4"/>
    <w:rsid w:val="004A2B23"/>
    <w:rsid w:val="004A340B"/>
    <w:rsid w:val="004A5080"/>
    <w:rsid w:val="004A5FF1"/>
    <w:rsid w:val="004A603C"/>
    <w:rsid w:val="004B0687"/>
    <w:rsid w:val="004B07AD"/>
    <w:rsid w:val="004B0894"/>
    <w:rsid w:val="004B1109"/>
    <w:rsid w:val="004B1511"/>
    <w:rsid w:val="004B5596"/>
    <w:rsid w:val="004B729B"/>
    <w:rsid w:val="004C58E1"/>
    <w:rsid w:val="004C7847"/>
    <w:rsid w:val="004D186B"/>
    <w:rsid w:val="004D3820"/>
    <w:rsid w:val="004D38B2"/>
    <w:rsid w:val="004D4F5F"/>
    <w:rsid w:val="004E0733"/>
    <w:rsid w:val="004E21DD"/>
    <w:rsid w:val="004E2599"/>
    <w:rsid w:val="004E2C37"/>
    <w:rsid w:val="004E2EF9"/>
    <w:rsid w:val="004E31A0"/>
    <w:rsid w:val="004E3CFE"/>
    <w:rsid w:val="004E3FCF"/>
    <w:rsid w:val="004E5178"/>
    <w:rsid w:val="004F1BF1"/>
    <w:rsid w:val="004F1E23"/>
    <w:rsid w:val="004F1E95"/>
    <w:rsid w:val="004F37C4"/>
    <w:rsid w:val="004F5BFC"/>
    <w:rsid w:val="005019DD"/>
    <w:rsid w:val="00502912"/>
    <w:rsid w:val="00503378"/>
    <w:rsid w:val="005035BD"/>
    <w:rsid w:val="00504469"/>
    <w:rsid w:val="00504CAB"/>
    <w:rsid w:val="00504D33"/>
    <w:rsid w:val="0050552B"/>
    <w:rsid w:val="0050662E"/>
    <w:rsid w:val="00507174"/>
    <w:rsid w:val="00512533"/>
    <w:rsid w:val="005143E2"/>
    <w:rsid w:val="00515350"/>
    <w:rsid w:val="00521125"/>
    <w:rsid w:val="00522884"/>
    <w:rsid w:val="00523206"/>
    <w:rsid w:val="005239A5"/>
    <w:rsid w:val="00523CB1"/>
    <w:rsid w:val="00524EB5"/>
    <w:rsid w:val="005268BB"/>
    <w:rsid w:val="005273C9"/>
    <w:rsid w:val="00527A7C"/>
    <w:rsid w:val="005304AB"/>
    <w:rsid w:val="00530F97"/>
    <w:rsid w:val="00532A50"/>
    <w:rsid w:val="00533034"/>
    <w:rsid w:val="0053646F"/>
    <w:rsid w:val="005376A0"/>
    <w:rsid w:val="00541509"/>
    <w:rsid w:val="00541EA7"/>
    <w:rsid w:val="00542861"/>
    <w:rsid w:val="0054308A"/>
    <w:rsid w:val="00545FF0"/>
    <w:rsid w:val="00552F81"/>
    <w:rsid w:val="005535AC"/>
    <w:rsid w:val="00554101"/>
    <w:rsid w:val="005570E2"/>
    <w:rsid w:val="0055722B"/>
    <w:rsid w:val="005622B1"/>
    <w:rsid w:val="0056237F"/>
    <w:rsid w:val="005642F0"/>
    <w:rsid w:val="005647FF"/>
    <w:rsid w:val="00565B40"/>
    <w:rsid w:val="005709CB"/>
    <w:rsid w:val="0057114C"/>
    <w:rsid w:val="00572DF5"/>
    <w:rsid w:val="005737FF"/>
    <w:rsid w:val="00577CDC"/>
    <w:rsid w:val="00580720"/>
    <w:rsid w:val="005819F8"/>
    <w:rsid w:val="00581C7C"/>
    <w:rsid w:val="00583ED9"/>
    <w:rsid w:val="0058514D"/>
    <w:rsid w:val="005857F0"/>
    <w:rsid w:val="00590B9D"/>
    <w:rsid w:val="00591023"/>
    <w:rsid w:val="0059167A"/>
    <w:rsid w:val="005922AC"/>
    <w:rsid w:val="00592D8C"/>
    <w:rsid w:val="00593520"/>
    <w:rsid w:val="00593ED5"/>
    <w:rsid w:val="00595EFA"/>
    <w:rsid w:val="005968C6"/>
    <w:rsid w:val="00596CAF"/>
    <w:rsid w:val="00596F37"/>
    <w:rsid w:val="00596FEA"/>
    <w:rsid w:val="00597AFD"/>
    <w:rsid w:val="005A012E"/>
    <w:rsid w:val="005A1173"/>
    <w:rsid w:val="005A4BC4"/>
    <w:rsid w:val="005A7908"/>
    <w:rsid w:val="005B02A2"/>
    <w:rsid w:val="005B1883"/>
    <w:rsid w:val="005B334F"/>
    <w:rsid w:val="005B6075"/>
    <w:rsid w:val="005C0305"/>
    <w:rsid w:val="005C052E"/>
    <w:rsid w:val="005C269D"/>
    <w:rsid w:val="005C288C"/>
    <w:rsid w:val="005C2B45"/>
    <w:rsid w:val="005C2F72"/>
    <w:rsid w:val="005C40CF"/>
    <w:rsid w:val="005C4A2B"/>
    <w:rsid w:val="005D00EC"/>
    <w:rsid w:val="005D3BFE"/>
    <w:rsid w:val="005D47B1"/>
    <w:rsid w:val="005D5B76"/>
    <w:rsid w:val="005D6783"/>
    <w:rsid w:val="005E10C1"/>
    <w:rsid w:val="005E39AC"/>
    <w:rsid w:val="005E583A"/>
    <w:rsid w:val="005E7AA8"/>
    <w:rsid w:val="005F024F"/>
    <w:rsid w:val="005F0F8B"/>
    <w:rsid w:val="005F1BC7"/>
    <w:rsid w:val="005F2FE1"/>
    <w:rsid w:val="005F317C"/>
    <w:rsid w:val="005F3C65"/>
    <w:rsid w:val="005F5F50"/>
    <w:rsid w:val="005F6634"/>
    <w:rsid w:val="006003DF"/>
    <w:rsid w:val="0060044B"/>
    <w:rsid w:val="006007D3"/>
    <w:rsid w:val="0060471E"/>
    <w:rsid w:val="00605D99"/>
    <w:rsid w:val="0060761E"/>
    <w:rsid w:val="0061230E"/>
    <w:rsid w:val="00612E5A"/>
    <w:rsid w:val="00612FAC"/>
    <w:rsid w:val="006136D5"/>
    <w:rsid w:val="00614112"/>
    <w:rsid w:val="00616316"/>
    <w:rsid w:val="00617AB7"/>
    <w:rsid w:val="006241B0"/>
    <w:rsid w:val="006248D5"/>
    <w:rsid w:val="00625F88"/>
    <w:rsid w:val="00626D62"/>
    <w:rsid w:val="00627C06"/>
    <w:rsid w:val="006328A2"/>
    <w:rsid w:val="00634B3F"/>
    <w:rsid w:val="00636B20"/>
    <w:rsid w:val="006371DC"/>
    <w:rsid w:val="0063788D"/>
    <w:rsid w:val="0064101C"/>
    <w:rsid w:val="006412A0"/>
    <w:rsid w:val="00641B34"/>
    <w:rsid w:val="00644339"/>
    <w:rsid w:val="006465E3"/>
    <w:rsid w:val="006476ED"/>
    <w:rsid w:val="00652688"/>
    <w:rsid w:val="006539F0"/>
    <w:rsid w:val="00653ECD"/>
    <w:rsid w:val="00661275"/>
    <w:rsid w:val="00661CEF"/>
    <w:rsid w:val="00664102"/>
    <w:rsid w:val="0066688D"/>
    <w:rsid w:val="00666985"/>
    <w:rsid w:val="00667A7F"/>
    <w:rsid w:val="006725D6"/>
    <w:rsid w:val="0067297E"/>
    <w:rsid w:val="00674E3D"/>
    <w:rsid w:val="00676990"/>
    <w:rsid w:val="006806FB"/>
    <w:rsid w:val="00681DD6"/>
    <w:rsid w:val="0068502C"/>
    <w:rsid w:val="006853AD"/>
    <w:rsid w:val="00686383"/>
    <w:rsid w:val="006866B1"/>
    <w:rsid w:val="00686EFC"/>
    <w:rsid w:val="0068741B"/>
    <w:rsid w:val="006906F5"/>
    <w:rsid w:val="0069138A"/>
    <w:rsid w:val="006919AD"/>
    <w:rsid w:val="00691C3D"/>
    <w:rsid w:val="0069224D"/>
    <w:rsid w:val="0069553C"/>
    <w:rsid w:val="006956C0"/>
    <w:rsid w:val="00697CB2"/>
    <w:rsid w:val="006A112A"/>
    <w:rsid w:val="006A26C7"/>
    <w:rsid w:val="006A6F98"/>
    <w:rsid w:val="006B29F2"/>
    <w:rsid w:val="006B317D"/>
    <w:rsid w:val="006B6BC4"/>
    <w:rsid w:val="006B7432"/>
    <w:rsid w:val="006B7DA3"/>
    <w:rsid w:val="006C0318"/>
    <w:rsid w:val="006C05A9"/>
    <w:rsid w:val="006C099C"/>
    <w:rsid w:val="006C0B86"/>
    <w:rsid w:val="006C2CB0"/>
    <w:rsid w:val="006C2EE6"/>
    <w:rsid w:val="006C3BE1"/>
    <w:rsid w:val="006C4797"/>
    <w:rsid w:val="006C4AC9"/>
    <w:rsid w:val="006C7259"/>
    <w:rsid w:val="006D0B4B"/>
    <w:rsid w:val="006D1601"/>
    <w:rsid w:val="006D288E"/>
    <w:rsid w:val="006D2CF8"/>
    <w:rsid w:val="006D3443"/>
    <w:rsid w:val="006D4F6E"/>
    <w:rsid w:val="006D53A6"/>
    <w:rsid w:val="006D5942"/>
    <w:rsid w:val="006E037B"/>
    <w:rsid w:val="006E0540"/>
    <w:rsid w:val="006E2D6F"/>
    <w:rsid w:val="006E62B5"/>
    <w:rsid w:val="006E744D"/>
    <w:rsid w:val="006F0812"/>
    <w:rsid w:val="006F095A"/>
    <w:rsid w:val="006F16D6"/>
    <w:rsid w:val="006F5745"/>
    <w:rsid w:val="006F5D1B"/>
    <w:rsid w:val="006F7781"/>
    <w:rsid w:val="006F7A5A"/>
    <w:rsid w:val="006F7AE8"/>
    <w:rsid w:val="006F7DDB"/>
    <w:rsid w:val="00701C66"/>
    <w:rsid w:val="007024A9"/>
    <w:rsid w:val="00705890"/>
    <w:rsid w:val="00705AFF"/>
    <w:rsid w:val="00705D07"/>
    <w:rsid w:val="00707225"/>
    <w:rsid w:val="00707893"/>
    <w:rsid w:val="00710060"/>
    <w:rsid w:val="00710395"/>
    <w:rsid w:val="0071369C"/>
    <w:rsid w:val="0071400C"/>
    <w:rsid w:val="007148B3"/>
    <w:rsid w:val="007169BB"/>
    <w:rsid w:val="00721D02"/>
    <w:rsid w:val="007222E8"/>
    <w:rsid w:val="00722335"/>
    <w:rsid w:val="00723384"/>
    <w:rsid w:val="00724DAC"/>
    <w:rsid w:val="00726093"/>
    <w:rsid w:val="00727AA9"/>
    <w:rsid w:val="00730CC5"/>
    <w:rsid w:val="007336D1"/>
    <w:rsid w:val="00733A9C"/>
    <w:rsid w:val="0073495C"/>
    <w:rsid w:val="00734C6A"/>
    <w:rsid w:val="00736330"/>
    <w:rsid w:val="00740084"/>
    <w:rsid w:val="00741858"/>
    <w:rsid w:val="007420BA"/>
    <w:rsid w:val="00742F7B"/>
    <w:rsid w:val="0074607B"/>
    <w:rsid w:val="00746206"/>
    <w:rsid w:val="00747AF1"/>
    <w:rsid w:val="007503B9"/>
    <w:rsid w:val="00751772"/>
    <w:rsid w:val="007540B2"/>
    <w:rsid w:val="007552CB"/>
    <w:rsid w:val="0075760C"/>
    <w:rsid w:val="00760F70"/>
    <w:rsid w:val="00761C73"/>
    <w:rsid w:val="00761E13"/>
    <w:rsid w:val="007628F6"/>
    <w:rsid w:val="00764D16"/>
    <w:rsid w:val="0076617C"/>
    <w:rsid w:val="007661D6"/>
    <w:rsid w:val="007664BA"/>
    <w:rsid w:val="00770E84"/>
    <w:rsid w:val="007715C7"/>
    <w:rsid w:val="007727DF"/>
    <w:rsid w:val="0077288F"/>
    <w:rsid w:val="00773ACE"/>
    <w:rsid w:val="0077449F"/>
    <w:rsid w:val="0077577F"/>
    <w:rsid w:val="00776638"/>
    <w:rsid w:val="0077769E"/>
    <w:rsid w:val="00783FEF"/>
    <w:rsid w:val="007846A7"/>
    <w:rsid w:val="00784A28"/>
    <w:rsid w:val="00786DA8"/>
    <w:rsid w:val="007875CE"/>
    <w:rsid w:val="007920AA"/>
    <w:rsid w:val="00792387"/>
    <w:rsid w:val="00792812"/>
    <w:rsid w:val="0079340D"/>
    <w:rsid w:val="0079407E"/>
    <w:rsid w:val="00794FE6"/>
    <w:rsid w:val="00795857"/>
    <w:rsid w:val="00795959"/>
    <w:rsid w:val="007967D1"/>
    <w:rsid w:val="00797BCB"/>
    <w:rsid w:val="007A067E"/>
    <w:rsid w:val="007A0DD9"/>
    <w:rsid w:val="007A1F4B"/>
    <w:rsid w:val="007A28AE"/>
    <w:rsid w:val="007A489F"/>
    <w:rsid w:val="007B00DD"/>
    <w:rsid w:val="007B10E1"/>
    <w:rsid w:val="007B1459"/>
    <w:rsid w:val="007B1CC2"/>
    <w:rsid w:val="007B24D3"/>
    <w:rsid w:val="007B31FD"/>
    <w:rsid w:val="007B320D"/>
    <w:rsid w:val="007B4280"/>
    <w:rsid w:val="007B5FE4"/>
    <w:rsid w:val="007B6B5B"/>
    <w:rsid w:val="007C0D6B"/>
    <w:rsid w:val="007C1556"/>
    <w:rsid w:val="007C18CB"/>
    <w:rsid w:val="007C1B0B"/>
    <w:rsid w:val="007C71F5"/>
    <w:rsid w:val="007C7291"/>
    <w:rsid w:val="007D080E"/>
    <w:rsid w:val="007D0A7A"/>
    <w:rsid w:val="007D17AB"/>
    <w:rsid w:val="007D36B8"/>
    <w:rsid w:val="007D4E03"/>
    <w:rsid w:val="007D682D"/>
    <w:rsid w:val="007D7429"/>
    <w:rsid w:val="007D7B2B"/>
    <w:rsid w:val="007E0E84"/>
    <w:rsid w:val="007E4AF3"/>
    <w:rsid w:val="007E4CFA"/>
    <w:rsid w:val="007E50DA"/>
    <w:rsid w:val="007E57FD"/>
    <w:rsid w:val="007E6F25"/>
    <w:rsid w:val="007E75B5"/>
    <w:rsid w:val="007F004D"/>
    <w:rsid w:val="007F01DE"/>
    <w:rsid w:val="007F0F96"/>
    <w:rsid w:val="007F1EAD"/>
    <w:rsid w:val="007F232F"/>
    <w:rsid w:val="007F29F3"/>
    <w:rsid w:val="007F3F63"/>
    <w:rsid w:val="007F6565"/>
    <w:rsid w:val="00800074"/>
    <w:rsid w:val="00800248"/>
    <w:rsid w:val="00800851"/>
    <w:rsid w:val="00800A55"/>
    <w:rsid w:val="00801608"/>
    <w:rsid w:val="00802C68"/>
    <w:rsid w:val="00803083"/>
    <w:rsid w:val="008034DB"/>
    <w:rsid w:val="0080399A"/>
    <w:rsid w:val="00804A74"/>
    <w:rsid w:val="00805327"/>
    <w:rsid w:val="00805661"/>
    <w:rsid w:val="00805708"/>
    <w:rsid w:val="008066B0"/>
    <w:rsid w:val="00806B7D"/>
    <w:rsid w:val="00806EFA"/>
    <w:rsid w:val="0081103D"/>
    <w:rsid w:val="0081326F"/>
    <w:rsid w:val="00814A56"/>
    <w:rsid w:val="00815919"/>
    <w:rsid w:val="00815B86"/>
    <w:rsid w:val="008170B1"/>
    <w:rsid w:val="008176BE"/>
    <w:rsid w:val="00817A78"/>
    <w:rsid w:val="00817D14"/>
    <w:rsid w:val="00820604"/>
    <w:rsid w:val="00820630"/>
    <w:rsid w:val="00821EF3"/>
    <w:rsid w:val="008227B8"/>
    <w:rsid w:val="00823AC8"/>
    <w:rsid w:val="00824956"/>
    <w:rsid w:val="00827A27"/>
    <w:rsid w:val="00827D29"/>
    <w:rsid w:val="00827EF5"/>
    <w:rsid w:val="00830436"/>
    <w:rsid w:val="00830A92"/>
    <w:rsid w:val="00830C9E"/>
    <w:rsid w:val="00830DAA"/>
    <w:rsid w:val="00833DE1"/>
    <w:rsid w:val="008358F3"/>
    <w:rsid w:val="008416B4"/>
    <w:rsid w:val="00841886"/>
    <w:rsid w:val="00843B01"/>
    <w:rsid w:val="00844A9D"/>
    <w:rsid w:val="00845F2C"/>
    <w:rsid w:val="00846568"/>
    <w:rsid w:val="00850565"/>
    <w:rsid w:val="00850A82"/>
    <w:rsid w:val="00851BB0"/>
    <w:rsid w:val="00853D61"/>
    <w:rsid w:val="00855365"/>
    <w:rsid w:val="00856EE9"/>
    <w:rsid w:val="00857518"/>
    <w:rsid w:val="00857D03"/>
    <w:rsid w:val="0086498A"/>
    <w:rsid w:val="008656EB"/>
    <w:rsid w:val="0086587A"/>
    <w:rsid w:val="008671D8"/>
    <w:rsid w:val="0086747C"/>
    <w:rsid w:val="0086787B"/>
    <w:rsid w:val="008710B5"/>
    <w:rsid w:val="00871B17"/>
    <w:rsid w:val="008723B3"/>
    <w:rsid w:val="008727B4"/>
    <w:rsid w:val="00875DBA"/>
    <w:rsid w:val="00876976"/>
    <w:rsid w:val="00877321"/>
    <w:rsid w:val="00877719"/>
    <w:rsid w:val="0088000C"/>
    <w:rsid w:val="008803CD"/>
    <w:rsid w:val="00882A68"/>
    <w:rsid w:val="00882F9F"/>
    <w:rsid w:val="00884145"/>
    <w:rsid w:val="0088434D"/>
    <w:rsid w:val="008850BB"/>
    <w:rsid w:val="0088553F"/>
    <w:rsid w:val="0089247D"/>
    <w:rsid w:val="00892690"/>
    <w:rsid w:val="008931C4"/>
    <w:rsid w:val="00893C47"/>
    <w:rsid w:val="00897CD3"/>
    <w:rsid w:val="00897F7A"/>
    <w:rsid w:val="008A166B"/>
    <w:rsid w:val="008A1EC6"/>
    <w:rsid w:val="008A237B"/>
    <w:rsid w:val="008A2DA2"/>
    <w:rsid w:val="008A3398"/>
    <w:rsid w:val="008A37BC"/>
    <w:rsid w:val="008A3EF4"/>
    <w:rsid w:val="008A7BE1"/>
    <w:rsid w:val="008A7BF6"/>
    <w:rsid w:val="008A7DD7"/>
    <w:rsid w:val="008B0661"/>
    <w:rsid w:val="008B0C86"/>
    <w:rsid w:val="008B23BE"/>
    <w:rsid w:val="008B2FA7"/>
    <w:rsid w:val="008B4840"/>
    <w:rsid w:val="008B532D"/>
    <w:rsid w:val="008B66BA"/>
    <w:rsid w:val="008B6D89"/>
    <w:rsid w:val="008B75AB"/>
    <w:rsid w:val="008B7612"/>
    <w:rsid w:val="008B7700"/>
    <w:rsid w:val="008B7A76"/>
    <w:rsid w:val="008C02BF"/>
    <w:rsid w:val="008C6400"/>
    <w:rsid w:val="008C6C7B"/>
    <w:rsid w:val="008C72D7"/>
    <w:rsid w:val="008C7EEE"/>
    <w:rsid w:val="008D2B8B"/>
    <w:rsid w:val="008D429D"/>
    <w:rsid w:val="008D4457"/>
    <w:rsid w:val="008D6AA4"/>
    <w:rsid w:val="008D7E23"/>
    <w:rsid w:val="008E00FF"/>
    <w:rsid w:val="008E35C0"/>
    <w:rsid w:val="008E38C6"/>
    <w:rsid w:val="008E3D98"/>
    <w:rsid w:val="008E446F"/>
    <w:rsid w:val="008E5661"/>
    <w:rsid w:val="008E761F"/>
    <w:rsid w:val="008F23D7"/>
    <w:rsid w:val="008F2C9F"/>
    <w:rsid w:val="008F6113"/>
    <w:rsid w:val="008F696B"/>
    <w:rsid w:val="008F7406"/>
    <w:rsid w:val="00901A66"/>
    <w:rsid w:val="00902BB9"/>
    <w:rsid w:val="00903748"/>
    <w:rsid w:val="00903E4F"/>
    <w:rsid w:val="0090462F"/>
    <w:rsid w:val="009063ED"/>
    <w:rsid w:val="00910CE0"/>
    <w:rsid w:val="0091254A"/>
    <w:rsid w:val="009132E0"/>
    <w:rsid w:val="00915A12"/>
    <w:rsid w:val="0091642A"/>
    <w:rsid w:val="0092047A"/>
    <w:rsid w:val="00920943"/>
    <w:rsid w:val="00920D75"/>
    <w:rsid w:val="0092425A"/>
    <w:rsid w:val="00924AC5"/>
    <w:rsid w:val="00930483"/>
    <w:rsid w:val="00931501"/>
    <w:rsid w:val="0093294E"/>
    <w:rsid w:val="00932B09"/>
    <w:rsid w:val="00933E82"/>
    <w:rsid w:val="0093551D"/>
    <w:rsid w:val="0094054C"/>
    <w:rsid w:val="00940635"/>
    <w:rsid w:val="00942BE7"/>
    <w:rsid w:val="00943629"/>
    <w:rsid w:val="0094443F"/>
    <w:rsid w:val="00945E1A"/>
    <w:rsid w:val="00946A0C"/>
    <w:rsid w:val="009500E5"/>
    <w:rsid w:val="009506EE"/>
    <w:rsid w:val="00951BC9"/>
    <w:rsid w:val="00964C85"/>
    <w:rsid w:val="00964EDB"/>
    <w:rsid w:val="00964EFC"/>
    <w:rsid w:val="00970667"/>
    <w:rsid w:val="0097186B"/>
    <w:rsid w:val="00975884"/>
    <w:rsid w:val="0098029B"/>
    <w:rsid w:val="009811C7"/>
    <w:rsid w:val="009814F4"/>
    <w:rsid w:val="009828A9"/>
    <w:rsid w:val="00982944"/>
    <w:rsid w:val="00983CF7"/>
    <w:rsid w:val="009842F0"/>
    <w:rsid w:val="009852EA"/>
    <w:rsid w:val="00990913"/>
    <w:rsid w:val="00995078"/>
    <w:rsid w:val="009958DC"/>
    <w:rsid w:val="00997026"/>
    <w:rsid w:val="009A1964"/>
    <w:rsid w:val="009A1EE8"/>
    <w:rsid w:val="009A275B"/>
    <w:rsid w:val="009A2BD9"/>
    <w:rsid w:val="009A4F6B"/>
    <w:rsid w:val="009A6614"/>
    <w:rsid w:val="009A74BE"/>
    <w:rsid w:val="009B17E0"/>
    <w:rsid w:val="009B297F"/>
    <w:rsid w:val="009B38E9"/>
    <w:rsid w:val="009B4339"/>
    <w:rsid w:val="009B59A1"/>
    <w:rsid w:val="009C2382"/>
    <w:rsid w:val="009C3864"/>
    <w:rsid w:val="009C3B44"/>
    <w:rsid w:val="009C74A1"/>
    <w:rsid w:val="009D1236"/>
    <w:rsid w:val="009D12DE"/>
    <w:rsid w:val="009D4609"/>
    <w:rsid w:val="009D46A1"/>
    <w:rsid w:val="009D63EA"/>
    <w:rsid w:val="009E0790"/>
    <w:rsid w:val="009E3168"/>
    <w:rsid w:val="009E7DF5"/>
    <w:rsid w:val="009F047B"/>
    <w:rsid w:val="009F137C"/>
    <w:rsid w:val="009F5429"/>
    <w:rsid w:val="009F545C"/>
    <w:rsid w:val="009F57D8"/>
    <w:rsid w:val="009F5C94"/>
    <w:rsid w:val="009F79D9"/>
    <w:rsid w:val="00A01795"/>
    <w:rsid w:val="00A0205B"/>
    <w:rsid w:val="00A03597"/>
    <w:rsid w:val="00A03715"/>
    <w:rsid w:val="00A0374A"/>
    <w:rsid w:val="00A0435C"/>
    <w:rsid w:val="00A053AF"/>
    <w:rsid w:val="00A06EB1"/>
    <w:rsid w:val="00A07B8D"/>
    <w:rsid w:val="00A10637"/>
    <w:rsid w:val="00A11466"/>
    <w:rsid w:val="00A114A2"/>
    <w:rsid w:val="00A12240"/>
    <w:rsid w:val="00A14003"/>
    <w:rsid w:val="00A14253"/>
    <w:rsid w:val="00A161E6"/>
    <w:rsid w:val="00A166FE"/>
    <w:rsid w:val="00A16FFB"/>
    <w:rsid w:val="00A172AF"/>
    <w:rsid w:val="00A17B96"/>
    <w:rsid w:val="00A17DD2"/>
    <w:rsid w:val="00A20003"/>
    <w:rsid w:val="00A20530"/>
    <w:rsid w:val="00A20ED0"/>
    <w:rsid w:val="00A21519"/>
    <w:rsid w:val="00A21BF1"/>
    <w:rsid w:val="00A23F14"/>
    <w:rsid w:val="00A24E6F"/>
    <w:rsid w:val="00A2521C"/>
    <w:rsid w:val="00A25E8D"/>
    <w:rsid w:val="00A25FDF"/>
    <w:rsid w:val="00A26D8C"/>
    <w:rsid w:val="00A30EC1"/>
    <w:rsid w:val="00A3366B"/>
    <w:rsid w:val="00A34B75"/>
    <w:rsid w:val="00A35F5C"/>
    <w:rsid w:val="00A370B8"/>
    <w:rsid w:val="00A371EE"/>
    <w:rsid w:val="00A40582"/>
    <w:rsid w:val="00A405DA"/>
    <w:rsid w:val="00A416A5"/>
    <w:rsid w:val="00A42521"/>
    <w:rsid w:val="00A42774"/>
    <w:rsid w:val="00A478A5"/>
    <w:rsid w:val="00A50A58"/>
    <w:rsid w:val="00A50F79"/>
    <w:rsid w:val="00A5108E"/>
    <w:rsid w:val="00A513A8"/>
    <w:rsid w:val="00A51F88"/>
    <w:rsid w:val="00A524C4"/>
    <w:rsid w:val="00A541DF"/>
    <w:rsid w:val="00A55484"/>
    <w:rsid w:val="00A562E9"/>
    <w:rsid w:val="00A56830"/>
    <w:rsid w:val="00A571EF"/>
    <w:rsid w:val="00A605B9"/>
    <w:rsid w:val="00A6289F"/>
    <w:rsid w:val="00A62E23"/>
    <w:rsid w:val="00A63660"/>
    <w:rsid w:val="00A661B9"/>
    <w:rsid w:val="00A67586"/>
    <w:rsid w:val="00A700C2"/>
    <w:rsid w:val="00A707D7"/>
    <w:rsid w:val="00A71BD4"/>
    <w:rsid w:val="00A725ED"/>
    <w:rsid w:val="00A744CD"/>
    <w:rsid w:val="00A76643"/>
    <w:rsid w:val="00A8094B"/>
    <w:rsid w:val="00A81CC1"/>
    <w:rsid w:val="00A83533"/>
    <w:rsid w:val="00A85C32"/>
    <w:rsid w:val="00A874CD"/>
    <w:rsid w:val="00A90090"/>
    <w:rsid w:val="00A92FFC"/>
    <w:rsid w:val="00A93B46"/>
    <w:rsid w:val="00A975BD"/>
    <w:rsid w:val="00AA2D8A"/>
    <w:rsid w:val="00AB4A80"/>
    <w:rsid w:val="00AB7102"/>
    <w:rsid w:val="00AB7C6F"/>
    <w:rsid w:val="00AC05A0"/>
    <w:rsid w:val="00AC272A"/>
    <w:rsid w:val="00AD14ED"/>
    <w:rsid w:val="00AD16FE"/>
    <w:rsid w:val="00AD34DB"/>
    <w:rsid w:val="00AD419E"/>
    <w:rsid w:val="00AD4A0C"/>
    <w:rsid w:val="00AD4EA7"/>
    <w:rsid w:val="00AE2292"/>
    <w:rsid w:val="00AE373C"/>
    <w:rsid w:val="00AE4911"/>
    <w:rsid w:val="00AE7080"/>
    <w:rsid w:val="00AE73A0"/>
    <w:rsid w:val="00AF06D8"/>
    <w:rsid w:val="00AF2D3F"/>
    <w:rsid w:val="00AF37E3"/>
    <w:rsid w:val="00AF40FA"/>
    <w:rsid w:val="00AF425C"/>
    <w:rsid w:val="00AF528B"/>
    <w:rsid w:val="00AF59AC"/>
    <w:rsid w:val="00AF7885"/>
    <w:rsid w:val="00B00118"/>
    <w:rsid w:val="00B002B9"/>
    <w:rsid w:val="00B0125A"/>
    <w:rsid w:val="00B02AAE"/>
    <w:rsid w:val="00B033D8"/>
    <w:rsid w:val="00B03E8A"/>
    <w:rsid w:val="00B0648F"/>
    <w:rsid w:val="00B06703"/>
    <w:rsid w:val="00B06CD4"/>
    <w:rsid w:val="00B071A0"/>
    <w:rsid w:val="00B07761"/>
    <w:rsid w:val="00B11509"/>
    <w:rsid w:val="00B11562"/>
    <w:rsid w:val="00B12CBD"/>
    <w:rsid w:val="00B12CFD"/>
    <w:rsid w:val="00B13050"/>
    <w:rsid w:val="00B14152"/>
    <w:rsid w:val="00B14B7F"/>
    <w:rsid w:val="00B14C2A"/>
    <w:rsid w:val="00B16223"/>
    <w:rsid w:val="00B16521"/>
    <w:rsid w:val="00B17C54"/>
    <w:rsid w:val="00B204DF"/>
    <w:rsid w:val="00B20EBD"/>
    <w:rsid w:val="00B21E12"/>
    <w:rsid w:val="00B222A9"/>
    <w:rsid w:val="00B224EF"/>
    <w:rsid w:val="00B258AC"/>
    <w:rsid w:val="00B27BE8"/>
    <w:rsid w:val="00B30299"/>
    <w:rsid w:val="00B32223"/>
    <w:rsid w:val="00B3306A"/>
    <w:rsid w:val="00B33822"/>
    <w:rsid w:val="00B3528C"/>
    <w:rsid w:val="00B35706"/>
    <w:rsid w:val="00B359DC"/>
    <w:rsid w:val="00B37758"/>
    <w:rsid w:val="00B40D3D"/>
    <w:rsid w:val="00B42E08"/>
    <w:rsid w:val="00B47708"/>
    <w:rsid w:val="00B5057E"/>
    <w:rsid w:val="00B510AE"/>
    <w:rsid w:val="00B533AF"/>
    <w:rsid w:val="00B56360"/>
    <w:rsid w:val="00B63018"/>
    <w:rsid w:val="00B65052"/>
    <w:rsid w:val="00B66DE7"/>
    <w:rsid w:val="00B7071E"/>
    <w:rsid w:val="00B74DF8"/>
    <w:rsid w:val="00B755FC"/>
    <w:rsid w:val="00B7671A"/>
    <w:rsid w:val="00B7704C"/>
    <w:rsid w:val="00B775D4"/>
    <w:rsid w:val="00B77BD3"/>
    <w:rsid w:val="00B90CD1"/>
    <w:rsid w:val="00B91EF3"/>
    <w:rsid w:val="00B92710"/>
    <w:rsid w:val="00B92C82"/>
    <w:rsid w:val="00B92FF6"/>
    <w:rsid w:val="00B9548E"/>
    <w:rsid w:val="00B95942"/>
    <w:rsid w:val="00B96AA7"/>
    <w:rsid w:val="00BA3F34"/>
    <w:rsid w:val="00BA3FC3"/>
    <w:rsid w:val="00BA42CF"/>
    <w:rsid w:val="00BA7588"/>
    <w:rsid w:val="00BB13AA"/>
    <w:rsid w:val="00BB1C4C"/>
    <w:rsid w:val="00BB1CFB"/>
    <w:rsid w:val="00BB3890"/>
    <w:rsid w:val="00BB427C"/>
    <w:rsid w:val="00BC1597"/>
    <w:rsid w:val="00BC2198"/>
    <w:rsid w:val="00BC2A98"/>
    <w:rsid w:val="00BC4708"/>
    <w:rsid w:val="00BC6063"/>
    <w:rsid w:val="00BC64DF"/>
    <w:rsid w:val="00BC6611"/>
    <w:rsid w:val="00BD0EF7"/>
    <w:rsid w:val="00BD1E75"/>
    <w:rsid w:val="00BD2984"/>
    <w:rsid w:val="00BD2EA1"/>
    <w:rsid w:val="00BD3217"/>
    <w:rsid w:val="00BD3435"/>
    <w:rsid w:val="00BD3B7A"/>
    <w:rsid w:val="00BD48A2"/>
    <w:rsid w:val="00BD59ED"/>
    <w:rsid w:val="00BD5E2B"/>
    <w:rsid w:val="00BD62FC"/>
    <w:rsid w:val="00BE0DC1"/>
    <w:rsid w:val="00BE2197"/>
    <w:rsid w:val="00BE21C0"/>
    <w:rsid w:val="00BE4323"/>
    <w:rsid w:val="00BE60E0"/>
    <w:rsid w:val="00BF1361"/>
    <w:rsid w:val="00BF1742"/>
    <w:rsid w:val="00BF2D4C"/>
    <w:rsid w:val="00BF2FEC"/>
    <w:rsid w:val="00BF3892"/>
    <w:rsid w:val="00BF616C"/>
    <w:rsid w:val="00BF6892"/>
    <w:rsid w:val="00BF7ADA"/>
    <w:rsid w:val="00C007B4"/>
    <w:rsid w:val="00C00D37"/>
    <w:rsid w:val="00C022F8"/>
    <w:rsid w:val="00C026F0"/>
    <w:rsid w:val="00C041BC"/>
    <w:rsid w:val="00C059B8"/>
    <w:rsid w:val="00C06CB6"/>
    <w:rsid w:val="00C07413"/>
    <w:rsid w:val="00C075AB"/>
    <w:rsid w:val="00C1095E"/>
    <w:rsid w:val="00C134D0"/>
    <w:rsid w:val="00C14BB0"/>
    <w:rsid w:val="00C177D8"/>
    <w:rsid w:val="00C227D2"/>
    <w:rsid w:val="00C252A4"/>
    <w:rsid w:val="00C25A62"/>
    <w:rsid w:val="00C312F7"/>
    <w:rsid w:val="00C3386E"/>
    <w:rsid w:val="00C33A67"/>
    <w:rsid w:val="00C344F2"/>
    <w:rsid w:val="00C35C96"/>
    <w:rsid w:val="00C401F2"/>
    <w:rsid w:val="00C42778"/>
    <w:rsid w:val="00C42D4A"/>
    <w:rsid w:val="00C43AB0"/>
    <w:rsid w:val="00C46D99"/>
    <w:rsid w:val="00C4733A"/>
    <w:rsid w:val="00C621D7"/>
    <w:rsid w:val="00C6262B"/>
    <w:rsid w:val="00C62711"/>
    <w:rsid w:val="00C62D01"/>
    <w:rsid w:val="00C63E62"/>
    <w:rsid w:val="00C652EE"/>
    <w:rsid w:val="00C6602E"/>
    <w:rsid w:val="00C6683F"/>
    <w:rsid w:val="00C74F14"/>
    <w:rsid w:val="00C75047"/>
    <w:rsid w:val="00C75220"/>
    <w:rsid w:val="00C76807"/>
    <w:rsid w:val="00C768F7"/>
    <w:rsid w:val="00C771F2"/>
    <w:rsid w:val="00C77804"/>
    <w:rsid w:val="00C77FB0"/>
    <w:rsid w:val="00C85E24"/>
    <w:rsid w:val="00C86801"/>
    <w:rsid w:val="00C86EA5"/>
    <w:rsid w:val="00C90837"/>
    <w:rsid w:val="00C915A3"/>
    <w:rsid w:val="00C931F4"/>
    <w:rsid w:val="00C93F54"/>
    <w:rsid w:val="00C94F62"/>
    <w:rsid w:val="00C95697"/>
    <w:rsid w:val="00C95885"/>
    <w:rsid w:val="00CA0BDD"/>
    <w:rsid w:val="00CA143B"/>
    <w:rsid w:val="00CA1460"/>
    <w:rsid w:val="00CA209B"/>
    <w:rsid w:val="00CA3C64"/>
    <w:rsid w:val="00CA41CB"/>
    <w:rsid w:val="00CA4344"/>
    <w:rsid w:val="00CA640F"/>
    <w:rsid w:val="00CA741D"/>
    <w:rsid w:val="00CB1076"/>
    <w:rsid w:val="00CB2432"/>
    <w:rsid w:val="00CB2B89"/>
    <w:rsid w:val="00CB38C0"/>
    <w:rsid w:val="00CB4347"/>
    <w:rsid w:val="00CB4AE2"/>
    <w:rsid w:val="00CB4FB1"/>
    <w:rsid w:val="00CB4FB2"/>
    <w:rsid w:val="00CB5465"/>
    <w:rsid w:val="00CB6A64"/>
    <w:rsid w:val="00CB6DBE"/>
    <w:rsid w:val="00CB756D"/>
    <w:rsid w:val="00CB7B6F"/>
    <w:rsid w:val="00CC0F60"/>
    <w:rsid w:val="00CC1D0C"/>
    <w:rsid w:val="00CC2550"/>
    <w:rsid w:val="00CC290A"/>
    <w:rsid w:val="00CC3228"/>
    <w:rsid w:val="00CC522B"/>
    <w:rsid w:val="00CC6753"/>
    <w:rsid w:val="00CC7A1E"/>
    <w:rsid w:val="00CD1D9B"/>
    <w:rsid w:val="00CD3147"/>
    <w:rsid w:val="00CD3A1E"/>
    <w:rsid w:val="00CD3D1D"/>
    <w:rsid w:val="00CD51C4"/>
    <w:rsid w:val="00CD5AB9"/>
    <w:rsid w:val="00CE27FA"/>
    <w:rsid w:val="00CE2B52"/>
    <w:rsid w:val="00CE3332"/>
    <w:rsid w:val="00CE3691"/>
    <w:rsid w:val="00CE5640"/>
    <w:rsid w:val="00CE5D70"/>
    <w:rsid w:val="00CE6C44"/>
    <w:rsid w:val="00CE6F69"/>
    <w:rsid w:val="00CE7D10"/>
    <w:rsid w:val="00CF22FF"/>
    <w:rsid w:val="00CF5233"/>
    <w:rsid w:val="00CF6287"/>
    <w:rsid w:val="00CF7531"/>
    <w:rsid w:val="00CF7780"/>
    <w:rsid w:val="00CF7B91"/>
    <w:rsid w:val="00D0198E"/>
    <w:rsid w:val="00D02682"/>
    <w:rsid w:val="00D04BD9"/>
    <w:rsid w:val="00D0673E"/>
    <w:rsid w:val="00D06F28"/>
    <w:rsid w:val="00D105A1"/>
    <w:rsid w:val="00D10D7E"/>
    <w:rsid w:val="00D11593"/>
    <w:rsid w:val="00D12756"/>
    <w:rsid w:val="00D14D63"/>
    <w:rsid w:val="00D16CBC"/>
    <w:rsid w:val="00D17C29"/>
    <w:rsid w:val="00D17D53"/>
    <w:rsid w:val="00D20107"/>
    <w:rsid w:val="00D21859"/>
    <w:rsid w:val="00D249E0"/>
    <w:rsid w:val="00D254AA"/>
    <w:rsid w:val="00D254F5"/>
    <w:rsid w:val="00D30561"/>
    <w:rsid w:val="00D307A2"/>
    <w:rsid w:val="00D32E79"/>
    <w:rsid w:val="00D346C2"/>
    <w:rsid w:val="00D3479C"/>
    <w:rsid w:val="00D34DC8"/>
    <w:rsid w:val="00D373F1"/>
    <w:rsid w:val="00D37A0F"/>
    <w:rsid w:val="00D40DEF"/>
    <w:rsid w:val="00D434DB"/>
    <w:rsid w:val="00D43E7A"/>
    <w:rsid w:val="00D44856"/>
    <w:rsid w:val="00D44A79"/>
    <w:rsid w:val="00D44B8D"/>
    <w:rsid w:val="00D47E5F"/>
    <w:rsid w:val="00D50B87"/>
    <w:rsid w:val="00D51B5C"/>
    <w:rsid w:val="00D51F52"/>
    <w:rsid w:val="00D52AE1"/>
    <w:rsid w:val="00D548F0"/>
    <w:rsid w:val="00D558C5"/>
    <w:rsid w:val="00D558DB"/>
    <w:rsid w:val="00D56FEE"/>
    <w:rsid w:val="00D60F44"/>
    <w:rsid w:val="00D61AE1"/>
    <w:rsid w:val="00D61CBB"/>
    <w:rsid w:val="00D64AD9"/>
    <w:rsid w:val="00D65D25"/>
    <w:rsid w:val="00D702F0"/>
    <w:rsid w:val="00D70CFB"/>
    <w:rsid w:val="00D72794"/>
    <w:rsid w:val="00D7371D"/>
    <w:rsid w:val="00D74177"/>
    <w:rsid w:val="00D7466A"/>
    <w:rsid w:val="00D7494F"/>
    <w:rsid w:val="00D74E35"/>
    <w:rsid w:val="00D768E9"/>
    <w:rsid w:val="00D77F03"/>
    <w:rsid w:val="00D82B48"/>
    <w:rsid w:val="00D836AA"/>
    <w:rsid w:val="00D838E4"/>
    <w:rsid w:val="00D90697"/>
    <w:rsid w:val="00D91196"/>
    <w:rsid w:val="00D91934"/>
    <w:rsid w:val="00D92548"/>
    <w:rsid w:val="00D9282B"/>
    <w:rsid w:val="00D97DEE"/>
    <w:rsid w:val="00DA0C72"/>
    <w:rsid w:val="00DA43B5"/>
    <w:rsid w:val="00DA5718"/>
    <w:rsid w:val="00DB0D00"/>
    <w:rsid w:val="00DB0DC2"/>
    <w:rsid w:val="00DB18C0"/>
    <w:rsid w:val="00DB6127"/>
    <w:rsid w:val="00DB6729"/>
    <w:rsid w:val="00DB6C8A"/>
    <w:rsid w:val="00DC04A4"/>
    <w:rsid w:val="00DC2448"/>
    <w:rsid w:val="00DC2F44"/>
    <w:rsid w:val="00DC36A2"/>
    <w:rsid w:val="00DC399B"/>
    <w:rsid w:val="00DD0145"/>
    <w:rsid w:val="00DD0BD0"/>
    <w:rsid w:val="00DD12C9"/>
    <w:rsid w:val="00DD2716"/>
    <w:rsid w:val="00DD4E5F"/>
    <w:rsid w:val="00DD68BE"/>
    <w:rsid w:val="00DD7909"/>
    <w:rsid w:val="00DE0A92"/>
    <w:rsid w:val="00DE11DD"/>
    <w:rsid w:val="00DE1461"/>
    <w:rsid w:val="00DE1C97"/>
    <w:rsid w:val="00DE2457"/>
    <w:rsid w:val="00DE5008"/>
    <w:rsid w:val="00DF05C0"/>
    <w:rsid w:val="00DF1699"/>
    <w:rsid w:val="00DF63C1"/>
    <w:rsid w:val="00DF6695"/>
    <w:rsid w:val="00E004FA"/>
    <w:rsid w:val="00E03901"/>
    <w:rsid w:val="00E04B8D"/>
    <w:rsid w:val="00E052B8"/>
    <w:rsid w:val="00E0683F"/>
    <w:rsid w:val="00E06D1E"/>
    <w:rsid w:val="00E06F19"/>
    <w:rsid w:val="00E072AF"/>
    <w:rsid w:val="00E1021F"/>
    <w:rsid w:val="00E11E78"/>
    <w:rsid w:val="00E15A82"/>
    <w:rsid w:val="00E17112"/>
    <w:rsid w:val="00E220C1"/>
    <w:rsid w:val="00E22147"/>
    <w:rsid w:val="00E25D76"/>
    <w:rsid w:val="00E260EA"/>
    <w:rsid w:val="00E26C9D"/>
    <w:rsid w:val="00E32B07"/>
    <w:rsid w:val="00E32E5E"/>
    <w:rsid w:val="00E331FA"/>
    <w:rsid w:val="00E35768"/>
    <w:rsid w:val="00E36616"/>
    <w:rsid w:val="00E411B0"/>
    <w:rsid w:val="00E4122C"/>
    <w:rsid w:val="00E414A3"/>
    <w:rsid w:val="00E41FC3"/>
    <w:rsid w:val="00E42379"/>
    <w:rsid w:val="00E424B0"/>
    <w:rsid w:val="00E4370F"/>
    <w:rsid w:val="00E43F68"/>
    <w:rsid w:val="00E4446C"/>
    <w:rsid w:val="00E4446F"/>
    <w:rsid w:val="00E45058"/>
    <w:rsid w:val="00E47066"/>
    <w:rsid w:val="00E511E1"/>
    <w:rsid w:val="00E51764"/>
    <w:rsid w:val="00E528D9"/>
    <w:rsid w:val="00E53148"/>
    <w:rsid w:val="00E540C7"/>
    <w:rsid w:val="00E552F9"/>
    <w:rsid w:val="00E55A34"/>
    <w:rsid w:val="00E5668A"/>
    <w:rsid w:val="00E569DE"/>
    <w:rsid w:val="00E57565"/>
    <w:rsid w:val="00E578C9"/>
    <w:rsid w:val="00E60D35"/>
    <w:rsid w:val="00E61AA3"/>
    <w:rsid w:val="00E64303"/>
    <w:rsid w:val="00E643F9"/>
    <w:rsid w:val="00E64998"/>
    <w:rsid w:val="00E66BE9"/>
    <w:rsid w:val="00E66F48"/>
    <w:rsid w:val="00E70356"/>
    <w:rsid w:val="00E70E42"/>
    <w:rsid w:val="00E7477C"/>
    <w:rsid w:val="00E777F1"/>
    <w:rsid w:val="00E82415"/>
    <w:rsid w:val="00E826EB"/>
    <w:rsid w:val="00E843A9"/>
    <w:rsid w:val="00E85B1D"/>
    <w:rsid w:val="00E85EC5"/>
    <w:rsid w:val="00E8610A"/>
    <w:rsid w:val="00E86257"/>
    <w:rsid w:val="00E92815"/>
    <w:rsid w:val="00E938B4"/>
    <w:rsid w:val="00E95E09"/>
    <w:rsid w:val="00EA0E9C"/>
    <w:rsid w:val="00EA1DDF"/>
    <w:rsid w:val="00EA2AC3"/>
    <w:rsid w:val="00EA2B6A"/>
    <w:rsid w:val="00EA3B87"/>
    <w:rsid w:val="00EA44E1"/>
    <w:rsid w:val="00EA5E29"/>
    <w:rsid w:val="00EA6E31"/>
    <w:rsid w:val="00EA7E75"/>
    <w:rsid w:val="00EB062C"/>
    <w:rsid w:val="00EB0B3B"/>
    <w:rsid w:val="00EB2102"/>
    <w:rsid w:val="00EB354E"/>
    <w:rsid w:val="00EB4234"/>
    <w:rsid w:val="00EB50F9"/>
    <w:rsid w:val="00EB70A9"/>
    <w:rsid w:val="00EB7440"/>
    <w:rsid w:val="00EB776C"/>
    <w:rsid w:val="00EB7ACE"/>
    <w:rsid w:val="00EC136A"/>
    <w:rsid w:val="00EC1B30"/>
    <w:rsid w:val="00EC57E1"/>
    <w:rsid w:val="00EC70B5"/>
    <w:rsid w:val="00ED233E"/>
    <w:rsid w:val="00ED2CDA"/>
    <w:rsid w:val="00ED4CDE"/>
    <w:rsid w:val="00ED4EC5"/>
    <w:rsid w:val="00ED5B96"/>
    <w:rsid w:val="00ED674D"/>
    <w:rsid w:val="00EE0316"/>
    <w:rsid w:val="00EE0B47"/>
    <w:rsid w:val="00EE1E62"/>
    <w:rsid w:val="00EE3B30"/>
    <w:rsid w:val="00EE550C"/>
    <w:rsid w:val="00EE654D"/>
    <w:rsid w:val="00EE7208"/>
    <w:rsid w:val="00EE7D35"/>
    <w:rsid w:val="00EF14B7"/>
    <w:rsid w:val="00EF26EB"/>
    <w:rsid w:val="00EF34B3"/>
    <w:rsid w:val="00EF4348"/>
    <w:rsid w:val="00EF4B61"/>
    <w:rsid w:val="00EF4D5B"/>
    <w:rsid w:val="00EF69CB"/>
    <w:rsid w:val="00F02308"/>
    <w:rsid w:val="00F024C6"/>
    <w:rsid w:val="00F03177"/>
    <w:rsid w:val="00F03214"/>
    <w:rsid w:val="00F04411"/>
    <w:rsid w:val="00F044E0"/>
    <w:rsid w:val="00F05EBB"/>
    <w:rsid w:val="00F05EE4"/>
    <w:rsid w:val="00F07771"/>
    <w:rsid w:val="00F11116"/>
    <w:rsid w:val="00F11775"/>
    <w:rsid w:val="00F14414"/>
    <w:rsid w:val="00F16521"/>
    <w:rsid w:val="00F16F2F"/>
    <w:rsid w:val="00F204FD"/>
    <w:rsid w:val="00F26894"/>
    <w:rsid w:val="00F30D5A"/>
    <w:rsid w:val="00F31668"/>
    <w:rsid w:val="00F330D4"/>
    <w:rsid w:val="00F33617"/>
    <w:rsid w:val="00F35B84"/>
    <w:rsid w:val="00F41D1E"/>
    <w:rsid w:val="00F436B0"/>
    <w:rsid w:val="00F439C4"/>
    <w:rsid w:val="00F46CB3"/>
    <w:rsid w:val="00F47436"/>
    <w:rsid w:val="00F501D5"/>
    <w:rsid w:val="00F5037B"/>
    <w:rsid w:val="00F51969"/>
    <w:rsid w:val="00F52746"/>
    <w:rsid w:val="00F53A12"/>
    <w:rsid w:val="00F5454C"/>
    <w:rsid w:val="00F54EC8"/>
    <w:rsid w:val="00F561D7"/>
    <w:rsid w:val="00F56D34"/>
    <w:rsid w:val="00F602B5"/>
    <w:rsid w:val="00F614B9"/>
    <w:rsid w:val="00F63204"/>
    <w:rsid w:val="00F642DA"/>
    <w:rsid w:val="00F64FE0"/>
    <w:rsid w:val="00F70D11"/>
    <w:rsid w:val="00F71844"/>
    <w:rsid w:val="00F71FF7"/>
    <w:rsid w:val="00F818F1"/>
    <w:rsid w:val="00F831B0"/>
    <w:rsid w:val="00F838F1"/>
    <w:rsid w:val="00F83A9E"/>
    <w:rsid w:val="00F84C09"/>
    <w:rsid w:val="00F858E4"/>
    <w:rsid w:val="00F861DF"/>
    <w:rsid w:val="00F90BC8"/>
    <w:rsid w:val="00F918CB"/>
    <w:rsid w:val="00F92176"/>
    <w:rsid w:val="00F930F0"/>
    <w:rsid w:val="00F97515"/>
    <w:rsid w:val="00F97C37"/>
    <w:rsid w:val="00FA04F3"/>
    <w:rsid w:val="00FA2B4D"/>
    <w:rsid w:val="00FA3B7F"/>
    <w:rsid w:val="00FA3C50"/>
    <w:rsid w:val="00FA707E"/>
    <w:rsid w:val="00FA7583"/>
    <w:rsid w:val="00FB07B9"/>
    <w:rsid w:val="00FB0C50"/>
    <w:rsid w:val="00FB0ECD"/>
    <w:rsid w:val="00FB10D8"/>
    <w:rsid w:val="00FB230E"/>
    <w:rsid w:val="00FB3DD1"/>
    <w:rsid w:val="00FC19A5"/>
    <w:rsid w:val="00FC2CE6"/>
    <w:rsid w:val="00FC34EB"/>
    <w:rsid w:val="00FC446E"/>
    <w:rsid w:val="00FC5429"/>
    <w:rsid w:val="00FC5F72"/>
    <w:rsid w:val="00FC6861"/>
    <w:rsid w:val="00FC6AA9"/>
    <w:rsid w:val="00FD1707"/>
    <w:rsid w:val="00FD1B18"/>
    <w:rsid w:val="00FD1C88"/>
    <w:rsid w:val="00FD326F"/>
    <w:rsid w:val="00FD6ACA"/>
    <w:rsid w:val="00FD77AD"/>
    <w:rsid w:val="00FD7D8C"/>
    <w:rsid w:val="00FE07B7"/>
    <w:rsid w:val="00FE1192"/>
    <w:rsid w:val="00FE241D"/>
    <w:rsid w:val="00FE33D7"/>
    <w:rsid w:val="00FE4401"/>
    <w:rsid w:val="00FE49A6"/>
    <w:rsid w:val="00FE4B22"/>
    <w:rsid w:val="00FE5905"/>
    <w:rsid w:val="00FE6307"/>
    <w:rsid w:val="00FE71B6"/>
    <w:rsid w:val="00FF2414"/>
    <w:rsid w:val="00FF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9DA93-0DBA-4EB6-8BBF-1005F4478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2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10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410A1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0A1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0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2">
    <w:name w:val="Style42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2" w:lineRule="exact"/>
      <w:ind w:firstLine="111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DF6695"/>
    <w:pPr>
      <w:widowControl w:val="0"/>
      <w:autoSpaceDE w:val="0"/>
      <w:autoSpaceDN w:val="0"/>
      <w:adjustRightInd w:val="0"/>
      <w:spacing w:after="0" w:line="310" w:lineRule="exact"/>
      <w:ind w:firstLine="7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12A0"/>
    <w:pPr>
      <w:ind w:left="720"/>
      <w:contextualSpacing/>
    </w:pPr>
  </w:style>
  <w:style w:type="paragraph" w:styleId="a8">
    <w:name w:val="No Spacing"/>
    <w:uiPriority w:val="1"/>
    <w:qFormat/>
    <w:rsid w:val="006D1601"/>
    <w:pPr>
      <w:spacing w:after="0" w:line="240" w:lineRule="auto"/>
    </w:pPr>
  </w:style>
  <w:style w:type="paragraph" w:customStyle="1" w:styleId="ConsPlusNormal">
    <w:name w:val="ConsPlusNormal"/>
    <w:link w:val="ConsPlusNormal0"/>
    <w:rsid w:val="003F6F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F6F24"/>
    <w:rPr>
      <w:rFonts w:ascii="Arial" w:eastAsia="Times New Roman" w:hAnsi="Arial" w:cs="Arial"/>
      <w:sz w:val="20"/>
      <w:szCs w:val="20"/>
      <w:lang w:eastAsia="ru-RU"/>
    </w:rPr>
  </w:style>
  <w:style w:type="table" w:customStyle="1" w:styleId="4">
    <w:name w:val="Календарь 4"/>
    <w:basedOn w:val="a1"/>
    <w:uiPriority w:val="99"/>
    <w:qFormat/>
    <w:rsid w:val="00D44A79"/>
    <w:pPr>
      <w:snapToGrid w:val="0"/>
      <w:spacing w:after="0" w:line="240" w:lineRule="auto"/>
    </w:pPr>
    <w:rPr>
      <w:rFonts w:eastAsiaTheme="minorEastAsia"/>
      <w:b/>
      <w:color w:val="D9D9D9" w:themeColor="background1" w:themeShade="D9"/>
      <w:sz w:val="16"/>
      <w:lang w:eastAsia="ru-RU"/>
    </w:rPr>
    <w:tblPr>
      <w:tblStyleRow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cPr>
      <w:shd w:val="clear" w:color="auto" w:fill="244061" w:themeFill="accent1" w:themeFillShade="80"/>
    </w:tcPr>
    <w:tblStylePr w:type="firstRow">
      <w:rPr>
        <w:color w:val="D9D9D9" w:themeColor="background1" w:themeShade="D9"/>
        <w:sz w:val="8"/>
      </w:rPr>
    </w:tblStylePr>
    <w:tblStylePr w:type="firstCol">
      <w:pPr>
        <w:wordWrap/>
        <w:ind w:right="144"/>
        <w:jc w:val="right"/>
      </w:pPr>
      <w:rPr>
        <w:rFonts w:asciiTheme="minorHAnsi" w:hAnsiTheme="minorHAnsi"/>
        <w:b/>
        <w:i w:val="0"/>
        <w:color w:val="D9D9D9" w:themeColor="background1" w:themeShade="D9"/>
        <w:sz w:val="72"/>
      </w:rPr>
    </w:tblStylePr>
    <w:tblStylePr w:type="band1Horz">
      <w:rPr>
        <w:color w:val="D9D9D9" w:themeColor="background1" w:themeShade="D9"/>
        <w:sz w:val="16"/>
      </w:rPr>
    </w:tblStylePr>
    <w:tblStylePr w:type="band2Horz">
      <w:rPr>
        <w:color w:val="D9D9D9" w:themeColor="background1" w:themeShade="D9"/>
        <w:sz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color w:val="D9D9D9" w:themeColor="background1" w:themeShade="D9"/>
        <w:sz w:val="8"/>
      </w:rPr>
    </w:tblStylePr>
  </w:style>
  <w:style w:type="paragraph" w:styleId="a9">
    <w:name w:val="Body Text Indent"/>
    <w:basedOn w:val="a"/>
    <w:link w:val="aa"/>
    <w:uiPriority w:val="99"/>
    <w:unhideWhenUsed/>
    <w:rsid w:val="00727AA9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7AA9"/>
    <w:rPr>
      <w:rFonts w:ascii="Calibri" w:eastAsia="Calibri" w:hAnsi="Calibri" w:cs="Times New Roman"/>
    </w:rPr>
  </w:style>
  <w:style w:type="paragraph" w:styleId="ab">
    <w:name w:val="header"/>
    <w:basedOn w:val="a"/>
    <w:link w:val="ac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55EF7"/>
  </w:style>
  <w:style w:type="paragraph" w:styleId="ad">
    <w:name w:val="footer"/>
    <w:basedOn w:val="a"/>
    <w:link w:val="ae"/>
    <w:uiPriority w:val="99"/>
    <w:unhideWhenUsed/>
    <w:rsid w:val="00255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55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56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2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7330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886140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07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954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1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51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98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27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003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97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331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45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7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3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81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8001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755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50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970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72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972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32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9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7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795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6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336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34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64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88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0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59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87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71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30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5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58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585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767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2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5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78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0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51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752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34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18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68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307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00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13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623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6440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3324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00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85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22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922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19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87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0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61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21278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E1E1E1"/>
                            <w:left w:val="single" w:sz="48" w:space="0" w:color="E1E1E1"/>
                            <w:bottom w:val="single" w:sz="48" w:space="0" w:color="E1E1E1"/>
                            <w:right w:val="single" w:sz="48" w:space="0" w:color="E1E1E1"/>
                          </w:divBdr>
                          <w:divsChild>
                            <w:div w:id="136590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38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27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0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/>
      <a:bodyPr vertOverflow="clip" wrap="square" rtlCol="0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5C2D9-72BF-47EB-A97E-9DEDBB27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3114</TotalTime>
  <Pages>10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Шубная Юлия Петровна</cp:lastModifiedBy>
  <cp:revision>582</cp:revision>
  <cp:lastPrinted>2020-10-06T07:00:00Z</cp:lastPrinted>
  <dcterms:created xsi:type="dcterms:W3CDTF">2019-10-08T06:24:00Z</dcterms:created>
  <dcterms:modified xsi:type="dcterms:W3CDTF">2020-10-26T10:02:00Z</dcterms:modified>
</cp:coreProperties>
</file>